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B842">
      <w:pPr>
        <w:widowControl/>
        <w:autoSpaceDE w:val="0"/>
        <w:autoSpaceDN w:val="0"/>
        <w:spacing w:before="0" w:after="0" w:line="160" w:lineRule="exact"/>
        <w:ind w:left="0" w:right="0"/>
      </w:pPr>
      <w:r>
        <w:rPr>
          <w:sz w:val="16"/>
        </w:rPr>
        <w:t xml:space="preserve"> </w:t>
      </w:r>
    </w:p>
    <w:p w14:paraId="68A97B4B">
      <w:pPr>
        <w:widowControl/>
        <w:autoSpaceDE w:val="0"/>
        <w:autoSpaceDN w:val="0"/>
        <w:spacing w:before="0" w:after="0" w:line="160" w:lineRule="exact"/>
        <w:ind w:left="0" w:right="0"/>
      </w:pPr>
      <w:r>
        <w:rPr>
          <w:sz w:val="16"/>
        </w:rPr>
        <w:t xml:space="preserve"> </w:t>
      </w:r>
    </w:p>
    <w:p w14:paraId="11C8680B">
      <w:pPr>
        <w:widowControl/>
        <w:autoSpaceDE w:val="0"/>
        <w:autoSpaceDN w:val="0"/>
        <w:spacing w:before="0" w:after="0" w:line="160" w:lineRule="exact"/>
        <w:ind w:left="0" w:right="0"/>
      </w:pPr>
      <w:r>
        <w:rPr>
          <w:sz w:val="16"/>
        </w:rPr>
        <w:t xml:space="preserve"> </w:t>
      </w:r>
    </w:p>
    <w:p w14:paraId="0F014276">
      <w:pPr>
        <w:widowControl/>
        <w:autoSpaceDE w:val="0"/>
        <w:autoSpaceDN w:val="0"/>
        <w:spacing w:before="0" w:after="0" w:line="160" w:lineRule="exact"/>
        <w:ind w:left="0" w:right="0"/>
      </w:pPr>
      <w:r>
        <w:rPr>
          <w:sz w:val="16"/>
        </w:rPr>
        <w:t xml:space="preserve"> </w:t>
      </w:r>
    </w:p>
    <w:p w14:paraId="255B30E9">
      <w:pPr>
        <w:widowControl/>
        <w:autoSpaceDE w:val="0"/>
        <w:autoSpaceDN w:val="0"/>
        <w:spacing w:before="0" w:after="0" w:line="160" w:lineRule="exact"/>
        <w:ind w:left="0" w:right="0"/>
      </w:pPr>
      <w:r>
        <w:rPr>
          <w:sz w:val="16"/>
        </w:rPr>
        <w:t xml:space="preserve"> </w:t>
      </w:r>
    </w:p>
    <w:p w14:paraId="16C5ABF3">
      <w:pPr>
        <w:widowControl/>
        <w:autoSpaceDE w:val="0"/>
        <w:autoSpaceDN w:val="0"/>
        <w:spacing w:before="0" w:after="0" w:line="160" w:lineRule="exact"/>
        <w:ind w:left="0" w:right="0"/>
      </w:pPr>
      <w:r>
        <w:rPr>
          <w:sz w:val="16"/>
        </w:rPr>
        <w:t xml:space="preserve"> </w:t>
      </w:r>
    </w:p>
    <w:p w14:paraId="605F8978">
      <w:pPr>
        <w:widowControl/>
        <w:autoSpaceDE w:val="0"/>
        <w:autoSpaceDN w:val="0"/>
        <w:spacing w:before="0" w:after="0" w:line="160" w:lineRule="exact"/>
        <w:ind w:left="0" w:right="0"/>
      </w:pPr>
      <w:r>
        <w:rPr>
          <w:sz w:val="16"/>
        </w:rPr>
        <w:t xml:space="preserve"> </w:t>
      </w:r>
    </w:p>
    <w:p w14:paraId="319F04CD">
      <w:pPr>
        <w:widowControl/>
        <w:autoSpaceDE w:val="0"/>
        <w:autoSpaceDN w:val="0"/>
        <w:spacing w:before="0" w:after="0" w:line="160" w:lineRule="exact"/>
        <w:ind w:left="0" w:right="0"/>
      </w:pPr>
      <w:r>
        <w:rPr>
          <w:sz w:val="16"/>
        </w:rPr>
        <w:t xml:space="preserve"> </w:t>
      </w:r>
    </w:p>
    <w:p w14:paraId="671ED7F0">
      <w:pPr>
        <w:widowControl/>
        <w:autoSpaceDE w:val="0"/>
        <w:autoSpaceDN w:val="0"/>
        <w:spacing w:before="0" w:after="0" w:line="160" w:lineRule="exact"/>
        <w:ind w:left="0" w:right="0"/>
      </w:pPr>
      <w:r>
        <w:rPr>
          <w:sz w:val="16"/>
        </w:rPr>
        <w:t xml:space="preserve"> </w:t>
      </w:r>
    </w:p>
    <w:p w14:paraId="6F2C19ED">
      <w:pPr>
        <w:widowControl/>
        <w:autoSpaceDE w:val="0"/>
        <w:autoSpaceDN w:val="0"/>
        <w:spacing w:before="0" w:after="0" w:line="160" w:lineRule="exact"/>
        <w:ind w:left="0" w:right="0"/>
      </w:pPr>
      <w:r>
        <w:rPr>
          <w:sz w:val="16"/>
        </w:rPr>
        <w:t xml:space="preserve"> </w:t>
      </w:r>
    </w:p>
    <w:p w14:paraId="6DCC9220">
      <w:pPr>
        <w:widowControl/>
        <w:autoSpaceDE w:val="0"/>
        <w:autoSpaceDN w:val="0"/>
        <w:spacing w:before="0" w:after="0" w:line="160" w:lineRule="exact"/>
        <w:ind w:left="0" w:right="0"/>
      </w:pPr>
      <w:r>
        <w:rPr>
          <w:sz w:val="16"/>
        </w:rPr>
        <w:t xml:space="preserve"> </w:t>
      </w:r>
    </w:p>
    <w:p w14:paraId="26D0A0A8">
      <w:pPr>
        <w:widowControl/>
        <w:autoSpaceDE w:val="0"/>
        <w:autoSpaceDN w:val="0"/>
        <w:spacing w:before="0" w:after="0" w:line="160" w:lineRule="exact"/>
        <w:ind w:left="0" w:right="0"/>
      </w:pPr>
      <w:r>
        <w:rPr>
          <w:sz w:val="16"/>
        </w:rPr>
        <w:t xml:space="preserve"> </w:t>
      </w:r>
    </w:p>
    <w:p w14:paraId="72C036DA">
      <w:pPr>
        <w:widowControl/>
        <w:autoSpaceDE w:val="0"/>
        <w:autoSpaceDN w:val="0"/>
        <w:spacing w:before="0" w:after="0" w:line="160" w:lineRule="exact"/>
        <w:ind w:left="0" w:right="0"/>
      </w:pPr>
      <w:r>
        <w:rPr>
          <w:sz w:val="16"/>
        </w:rPr>
        <w:t xml:space="preserve"> </w:t>
      </w:r>
    </w:p>
    <w:p w14:paraId="09B85749">
      <w:pPr>
        <w:widowControl/>
        <w:autoSpaceDE w:val="0"/>
        <w:autoSpaceDN w:val="0"/>
        <w:spacing w:before="0" w:after="0" w:line="160" w:lineRule="exact"/>
        <w:ind w:left="0" w:right="0"/>
      </w:pPr>
      <w:r>
        <w:rPr>
          <w:sz w:val="16"/>
        </w:rPr>
        <w:t xml:space="preserve"> </w:t>
      </w:r>
    </w:p>
    <w:p w14:paraId="648229CF">
      <w:pPr>
        <w:sectPr>
          <w:pgSz w:w="22440" w:h="16840"/>
          <w:pgMar w:top="660" w:right="1170" w:bottom="660" w:left="1170" w:header="720" w:footer="720" w:gutter="0"/>
          <w:cols w:equalWidth="0" w:num="1">
            <w:col w:w="20100"/>
          </w:cols>
          <w:docGrid w:linePitch="360" w:charSpace="0"/>
        </w:sectPr>
      </w:pPr>
    </w:p>
    <w:p w14:paraId="76A7F281">
      <w:pPr>
        <w:widowControl/>
        <w:autoSpaceDE w:val="0"/>
        <w:autoSpaceDN w:val="0"/>
        <w:spacing w:before="0" w:after="0" w:line="20" w:lineRule="exact"/>
        <w:ind w:left="0" w:right="0"/>
      </w:pPr>
      <w:r>
        <w:rPr>
          <w:sz w:val="2"/>
        </w:rPr>
        <w:t xml:space="preserve"> </w:t>
      </w:r>
    </w:p>
    <w:p w14:paraId="642D7E69">
      <w:pPr>
        <w:widowControl/>
        <w:autoSpaceDE w:val="0"/>
        <w:autoSpaceDN w:val="0"/>
        <w:spacing w:before="0" w:after="10" w:line="470" w:lineRule="exact"/>
        <w:ind w:left="190" w:right="0" w:firstLine="0"/>
        <w:jc w:val="both"/>
      </w:pPr>
      <w:r>
        <w:rPr>
          <w:spacing w:val="-48"/>
          <w:sz w:val="47"/>
        </w:rPr>
        <w:t>附件</w:t>
      </w:r>
    </w:p>
    <w:p w14:paraId="09E8EBDE">
      <w:pPr>
        <w:widowControl/>
        <w:autoSpaceDE w:val="0"/>
        <w:autoSpaceDN w:val="0"/>
        <w:spacing w:before="320" w:after="10" w:line="610" w:lineRule="exact"/>
        <w:ind w:left="5850" w:right="0" w:firstLine="1650" w:firstLineChars="300"/>
        <w:jc w:val="both"/>
        <w:rPr>
          <w:spacing w:val="0"/>
          <w:sz w:val="55"/>
        </w:rPr>
      </w:pPr>
      <w:r>
        <w:rPr>
          <w:spacing w:val="0"/>
          <w:sz w:val="55"/>
        </w:rPr>
        <w:t>行政检查事项报备表</w:t>
      </w:r>
    </w:p>
    <w:p w14:paraId="60DD1E1D">
      <w:pPr>
        <w:widowControl/>
        <w:autoSpaceDE w:val="0"/>
        <w:autoSpaceDN w:val="0"/>
        <w:spacing w:before="320" w:after="10" w:line="610" w:lineRule="exact"/>
        <w:ind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填报单位：（盖章）</w:t>
      </w:r>
      <w:r>
        <w:rPr>
          <w:rFonts w:hint="eastAsia" w:ascii="仿宋" w:hAnsi="仿宋" w:eastAsia="仿宋" w:cs="仿宋"/>
          <w:sz w:val="24"/>
          <w:szCs w:val="24"/>
          <w:lang w:val="en-US" w:eastAsia="zh-CN"/>
        </w:rPr>
        <w:t xml:space="preserve"> 城固县文化和旅游局        联系人：黄治培                        联系电话; 7233432                       </w:t>
      </w:r>
      <w:bookmarkStart w:id="0" w:name="_GoBack"/>
      <w:bookmarkEnd w:id="0"/>
      <w:r>
        <w:rPr>
          <w:rFonts w:hint="eastAsia" w:ascii="仿宋" w:hAnsi="仿宋" w:eastAsia="仿宋" w:cs="仿宋"/>
          <w:sz w:val="24"/>
          <w:szCs w:val="24"/>
          <w:lang w:val="en-US" w:eastAsia="zh-CN"/>
        </w:rPr>
        <w:t xml:space="preserve"> 填报时间:：2026年1月21日</w:t>
      </w:r>
    </w:p>
    <w:tbl>
      <w:tblPr>
        <w:tblStyle w:val="34"/>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453"/>
        <w:gridCol w:w="2622"/>
        <w:gridCol w:w="10577"/>
        <w:gridCol w:w="1325"/>
        <w:gridCol w:w="1977"/>
      </w:tblGrid>
      <w:tr w14:paraId="0AE9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pct"/>
            <w:gridSpan w:val="2"/>
            <w:vAlign w:val="center"/>
          </w:tcPr>
          <w:p w14:paraId="0246268A">
            <w:pPr>
              <w:snapToGrid w:val="0"/>
              <w:spacing w:after="0" w:line="288" w:lineRule="auto"/>
              <w:rPr>
                <w:rFonts w:hint="eastAsia" w:ascii="仿宋" w:hAnsi="仿宋" w:eastAsia="仿宋" w:cs="仿宋"/>
                <w:sz w:val="24"/>
                <w:szCs w:val="24"/>
              </w:rPr>
            </w:pPr>
            <w:r>
              <w:rPr>
                <w:rFonts w:hint="eastAsia" w:ascii="仿宋" w:hAnsi="仿宋" w:eastAsia="仿宋" w:cs="仿宋"/>
                <w:spacing w:val="4"/>
                <w:sz w:val="24"/>
                <w:szCs w:val="24"/>
              </w:rPr>
              <w:t>行政检查事项数</w:t>
            </w:r>
          </w:p>
        </w:tc>
        <w:tc>
          <w:tcPr>
            <w:tcW w:w="671" w:type="pct"/>
            <w:vAlign w:val="center"/>
          </w:tcPr>
          <w:p w14:paraId="73978679">
            <w:pPr>
              <w:snapToGrid w:val="0"/>
              <w:spacing w:after="0" w:line="288" w:lineRule="auto"/>
              <w:ind w:firstLine="992" w:firstLineChars="400"/>
              <w:rPr>
                <w:rFonts w:hint="eastAsia" w:ascii="仿宋" w:hAnsi="仿宋" w:eastAsia="仿宋" w:cs="仿宋"/>
                <w:sz w:val="24"/>
                <w:szCs w:val="24"/>
              </w:rPr>
            </w:pPr>
            <w:r>
              <w:rPr>
                <w:rFonts w:hint="eastAsia" w:ascii="仿宋" w:hAnsi="仿宋" w:eastAsia="仿宋" w:cs="仿宋"/>
                <w:spacing w:val="4"/>
                <w:sz w:val="24"/>
                <w:szCs w:val="24"/>
                <w:lang w:val="en-US" w:eastAsia="zh-CN"/>
              </w:rPr>
              <w:t>4</w:t>
            </w:r>
            <w:r>
              <w:rPr>
                <w:rFonts w:hint="eastAsia" w:ascii="仿宋" w:hAnsi="仿宋" w:eastAsia="仿宋" w:cs="仿宋"/>
                <w:spacing w:val="4"/>
                <w:sz w:val="24"/>
                <w:szCs w:val="24"/>
              </w:rPr>
              <w:t>项</w:t>
            </w:r>
          </w:p>
        </w:tc>
        <w:tc>
          <w:tcPr>
            <w:tcW w:w="2707" w:type="pct"/>
            <w:vAlign w:val="center"/>
          </w:tcPr>
          <w:p w14:paraId="5A5D5B29">
            <w:pPr>
              <w:snapToGrid w:val="0"/>
              <w:spacing w:after="0" w:line="288" w:lineRule="auto"/>
              <w:rPr>
                <w:rFonts w:hint="eastAsia" w:ascii="仿宋" w:hAnsi="仿宋" w:eastAsia="仿宋" w:cs="仿宋"/>
                <w:sz w:val="24"/>
                <w:szCs w:val="24"/>
              </w:rPr>
            </w:pPr>
            <w:r>
              <w:rPr>
                <w:rFonts w:hint="eastAsia" w:ascii="仿宋" w:hAnsi="仿宋" w:eastAsia="仿宋" w:cs="仿宋"/>
                <w:spacing w:val="4"/>
                <w:sz w:val="24"/>
                <w:szCs w:val="24"/>
              </w:rPr>
              <w:t>涉企行政检查事项数</w:t>
            </w:r>
          </w:p>
        </w:tc>
        <w:tc>
          <w:tcPr>
            <w:tcW w:w="844" w:type="pct"/>
            <w:gridSpan w:val="2"/>
            <w:vAlign w:val="center"/>
          </w:tcPr>
          <w:p w14:paraId="61DCA843">
            <w:pPr>
              <w:snapToGrid w:val="0"/>
              <w:spacing w:after="0" w:line="288" w:lineRule="auto"/>
              <w:ind w:firstLine="1240" w:firstLineChars="500"/>
              <w:rPr>
                <w:rFonts w:hint="eastAsia" w:ascii="仿宋" w:hAnsi="仿宋" w:eastAsia="仿宋" w:cs="仿宋"/>
                <w:sz w:val="24"/>
                <w:szCs w:val="24"/>
              </w:rPr>
            </w:pPr>
            <w:r>
              <w:rPr>
                <w:rFonts w:hint="eastAsia" w:ascii="仿宋" w:hAnsi="仿宋" w:eastAsia="仿宋" w:cs="仿宋"/>
                <w:spacing w:val="4"/>
                <w:sz w:val="24"/>
                <w:szCs w:val="24"/>
                <w:lang w:val="en-US" w:eastAsia="zh-CN"/>
              </w:rPr>
              <w:t>4</w:t>
            </w:r>
            <w:r>
              <w:rPr>
                <w:rFonts w:hint="eastAsia" w:ascii="仿宋" w:hAnsi="仿宋" w:eastAsia="仿宋" w:cs="仿宋"/>
                <w:spacing w:val="4"/>
                <w:sz w:val="24"/>
                <w:szCs w:val="24"/>
              </w:rPr>
              <w:t>项</w:t>
            </w:r>
          </w:p>
        </w:tc>
      </w:tr>
      <w:tr w14:paraId="2305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pct"/>
            <w:gridSpan w:val="2"/>
            <w:vAlign w:val="center"/>
          </w:tcPr>
          <w:p w14:paraId="677F0845">
            <w:pPr>
              <w:snapToGrid w:val="0"/>
              <w:spacing w:after="0" w:line="288" w:lineRule="auto"/>
              <w:jc w:val="left"/>
              <w:rPr>
                <w:rFonts w:hint="eastAsia" w:ascii="仿宋" w:hAnsi="仿宋" w:eastAsia="仿宋" w:cs="仿宋"/>
                <w:sz w:val="24"/>
                <w:szCs w:val="24"/>
              </w:rPr>
            </w:pPr>
            <w:r>
              <w:rPr>
                <w:rFonts w:hint="eastAsia" w:ascii="仿宋" w:hAnsi="仿宋" w:eastAsia="仿宋" w:cs="仿宋"/>
                <w:spacing w:val="4"/>
                <w:sz w:val="24"/>
                <w:szCs w:val="24"/>
              </w:rPr>
              <w:t>是否制定年度行政检查计划</w:t>
            </w:r>
          </w:p>
        </w:tc>
        <w:tc>
          <w:tcPr>
            <w:tcW w:w="671" w:type="pct"/>
            <w:vAlign w:val="center"/>
          </w:tcPr>
          <w:p w14:paraId="3FB0E060">
            <w:pPr>
              <w:snapToGrid w:val="0"/>
              <w:spacing w:after="0" w:line="288" w:lineRule="auto"/>
              <w:jc w:val="center"/>
              <w:rPr>
                <w:rFonts w:hint="default" w:ascii="仿宋" w:hAnsi="仿宋" w:eastAsia="仿宋" w:cs="仿宋"/>
                <w:sz w:val="24"/>
                <w:szCs w:val="24"/>
                <w:lang w:val="en-US" w:eastAsia="zh-CN"/>
              </w:rPr>
            </w:pPr>
            <w:r>
              <w:rPr>
                <w:rFonts w:hint="eastAsia" w:ascii="仿宋" w:hAnsi="仿宋" w:eastAsia="仿宋" w:cs="仿宋"/>
                <w:spacing w:val="4"/>
                <w:sz w:val="24"/>
                <w:szCs w:val="24"/>
              </w:rPr>
              <w:t>是</w:t>
            </w:r>
          </w:p>
        </w:tc>
        <w:tc>
          <w:tcPr>
            <w:tcW w:w="2707" w:type="pct"/>
            <w:vAlign w:val="center"/>
          </w:tcPr>
          <w:p w14:paraId="009EA20F">
            <w:pPr>
              <w:snapToGrid w:val="0"/>
              <w:spacing w:after="0" w:line="288" w:lineRule="auto"/>
              <w:jc w:val="both"/>
              <w:rPr>
                <w:rFonts w:hint="eastAsia" w:ascii="仿宋" w:hAnsi="仿宋" w:eastAsia="仿宋" w:cs="仿宋"/>
                <w:sz w:val="24"/>
                <w:szCs w:val="24"/>
              </w:rPr>
            </w:pPr>
            <w:r>
              <w:rPr>
                <w:rFonts w:hint="eastAsia" w:ascii="仿宋" w:hAnsi="仿宋" w:eastAsia="仿宋" w:cs="仿宋"/>
                <w:spacing w:val="4"/>
                <w:sz w:val="24"/>
                <w:szCs w:val="24"/>
              </w:rPr>
              <w:t>是否明确年度行政检查频次</w:t>
            </w:r>
          </w:p>
        </w:tc>
        <w:tc>
          <w:tcPr>
            <w:tcW w:w="844" w:type="pct"/>
            <w:gridSpan w:val="2"/>
            <w:vAlign w:val="center"/>
          </w:tcPr>
          <w:p w14:paraId="244EC3C3">
            <w:pPr>
              <w:snapToGrid w:val="0"/>
              <w:spacing w:after="0" w:line="288" w:lineRule="auto"/>
              <w:jc w:val="center"/>
              <w:rPr>
                <w:rFonts w:hint="eastAsia" w:ascii="仿宋" w:hAnsi="仿宋" w:eastAsia="仿宋" w:cs="仿宋"/>
                <w:sz w:val="24"/>
                <w:szCs w:val="24"/>
              </w:rPr>
            </w:pPr>
            <w:r>
              <w:rPr>
                <w:rFonts w:hint="eastAsia" w:ascii="仿宋" w:hAnsi="仿宋" w:eastAsia="仿宋" w:cs="仿宋"/>
                <w:spacing w:val="4"/>
                <w:sz w:val="24"/>
                <w:szCs w:val="24"/>
              </w:rPr>
              <w:t>是</w:t>
            </w:r>
          </w:p>
        </w:tc>
      </w:tr>
      <w:tr w14:paraId="2110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pct"/>
            <w:gridSpan w:val="2"/>
            <w:vAlign w:val="center"/>
          </w:tcPr>
          <w:p w14:paraId="3C5270D7">
            <w:pPr>
              <w:snapToGrid w:val="0"/>
              <w:spacing w:after="0" w:line="288" w:lineRule="auto"/>
              <w:jc w:val="left"/>
              <w:rPr>
                <w:rFonts w:hint="eastAsia" w:ascii="仿宋" w:hAnsi="仿宋" w:eastAsia="仿宋" w:cs="仿宋"/>
                <w:sz w:val="24"/>
                <w:szCs w:val="24"/>
              </w:rPr>
            </w:pPr>
            <w:r>
              <w:rPr>
                <w:rFonts w:hint="eastAsia" w:ascii="仿宋" w:hAnsi="仿宋" w:eastAsia="仿宋" w:cs="仿宋"/>
                <w:spacing w:val="4"/>
                <w:sz w:val="24"/>
                <w:szCs w:val="24"/>
              </w:rPr>
              <w:t>是否制定并开展专项检查计划</w:t>
            </w:r>
          </w:p>
        </w:tc>
        <w:tc>
          <w:tcPr>
            <w:tcW w:w="671" w:type="pct"/>
            <w:vAlign w:val="center"/>
          </w:tcPr>
          <w:p w14:paraId="14BDAB88">
            <w:pPr>
              <w:snapToGrid w:val="0"/>
              <w:spacing w:after="0" w:line="288" w:lineRule="auto"/>
              <w:jc w:val="center"/>
              <w:rPr>
                <w:rFonts w:hint="eastAsia" w:ascii="仿宋" w:hAnsi="仿宋" w:eastAsia="仿宋" w:cs="仿宋"/>
                <w:sz w:val="24"/>
                <w:szCs w:val="24"/>
              </w:rPr>
            </w:pPr>
            <w:r>
              <w:rPr>
                <w:rFonts w:hint="eastAsia" w:ascii="仿宋" w:hAnsi="仿宋" w:eastAsia="仿宋" w:cs="仿宋"/>
                <w:spacing w:val="4"/>
                <w:sz w:val="24"/>
                <w:szCs w:val="24"/>
              </w:rPr>
              <w:t>是</w:t>
            </w:r>
          </w:p>
        </w:tc>
        <w:tc>
          <w:tcPr>
            <w:tcW w:w="2707" w:type="pct"/>
            <w:vAlign w:val="center"/>
          </w:tcPr>
          <w:p w14:paraId="0B3285C1">
            <w:pPr>
              <w:snapToGrid w:val="0"/>
              <w:spacing w:after="0" w:line="288" w:lineRule="auto"/>
              <w:rPr>
                <w:rFonts w:hint="eastAsia" w:ascii="仿宋" w:hAnsi="仿宋" w:eastAsia="仿宋" w:cs="仿宋"/>
                <w:sz w:val="24"/>
                <w:szCs w:val="24"/>
              </w:rPr>
            </w:pPr>
            <w:r>
              <w:rPr>
                <w:rFonts w:hint="eastAsia" w:ascii="仿宋" w:hAnsi="仿宋" w:eastAsia="仿宋" w:cs="仿宋"/>
                <w:spacing w:val="4"/>
                <w:sz w:val="24"/>
                <w:szCs w:val="24"/>
              </w:rPr>
              <w:t>是否公示相关内容</w:t>
            </w:r>
          </w:p>
        </w:tc>
        <w:tc>
          <w:tcPr>
            <w:tcW w:w="844" w:type="pct"/>
            <w:gridSpan w:val="2"/>
            <w:vAlign w:val="center"/>
          </w:tcPr>
          <w:p w14:paraId="30296626">
            <w:pPr>
              <w:snapToGrid w:val="0"/>
              <w:spacing w:after="0" w:line="288" w:lineRule="auto"/>
              <w:jc w:val="center"/>
              <w:rPr>
                <w:rFonts w:hint="eastAsia" w:ascii="仿宋" w:hAnsi="仿宋" w:eastAsia="仿宋" w:cs="仿宋"/>
                <w:sz w:val="24"/>
                <w:szCs w:val="24"/>
              </w:rPr>
            </w:pPr>
            <w:r>
              <w:rPr>
                <w:rFonts w:hint="eastAsia" w:ascii="仿宋" w:hAnsi="仿宋" w:eastAsia="仿宋" w:cs="仿宋"/>
                <w:spacing w:val="4"/>
                <w:sz w:val="24"/>
                <w:szCs w:val="24"/>
              </w:rPr>
              <w:t>是</w:t>
            </w:r>
          </w:p>
        </w:tc>
      </w:tr>
      <w:tr w14:paraId="0522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pct"/>
            <w:gridSpan w:val="2"/>
            <w:vAlign w:val="center"/>
          </w:tcPr>
          <w:p w14:paraId="39C02A06">
            <w:pPr>
              <w:snapToGrid w:val="0"/>
              <w:spacing w:after="0" w:line="288" w:lineRule="auto"/>
              <w:rPr>
                <w:rFonts w:hint="eastAsia" w:ascii="仿宋" w:hAnsi="仿宋" w:eastAsia="仿宋" w:cs="仿宋"/>
                <w:sz w:val="24"/>
                <w:szCs w:val="24"/>
              </w:rPr>
            </w:pPr>
            <w:r>
              <w:rPr>
                <w:rFonts w:hint="eastAsia" w:ascii="仿宋" w:hAnsi="仿宋" w:eastAsia="仿宋" w:cs="仿宋"/>
                <w:spacing w:val="4"/>
                <w:sz w:val="24"/>
                <w:szCs w:val="24"/>
              </w:rPr>
              <w:t>公示网址或链接地址</w:t>
            </w:r>
          </w:p>
        </w:tc>
        <w:tc>
          <w:tcPr>
            <w:tcW w:w="4222" w:type="pct"/>
            <w:gridSpan w:val="4"/>
            <w:vAlign w:val="center"/>
          </w:tcPr>
          <w:p w14:paraId="4792AC6F">
            <w:pPr>
              <w:snapToGrid w:val="0"/>
              <w:spacing w:after="0" w:line="288"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县人民政府网站</w:t>
            </w:r>
          </w:p>
        </w:tc>
      </w:tr>
      <w:tr w14:paraId="79B4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6"/>
            <w:vAlign w:val="center"/>
          </w:tcPr>
          <w:p w14:paraId="1D2E822A">
            <w:pPr>
              <w:snapToGrid w:val="0"/>
              <w:spacing w:after="0" w:line="288" w:lineRule="auto"/>
              <w:jc w:val="center"/>
              <w:rPr>
                <w:rFonts w:hint="eastAsia" w:ascii="仿宋" w:hAnsi="仿宋" w:eastAsia="仿宋" w:cs="仿宋"/>
                <w:sz w:val="24"/>
                <w:szCs w:val="24"/>
              </w:rPr>
            </w:pPr>
            <w:r>
              <w:rPr>
                <w:rFonts w:hint="eastAsia" w:ascii="仿宋" w:hAnsi="仿宋" w:eastAsia="仿宋" w:cs="仿宋"/>
                <w:spacing w:val="4"/>
                <w:sz w:val="24"/>
                <w:szCs w:val="24"/>
              </w:rPr>
              <w:t>涉企行政检查事项目录</w:t>
            </w:r>
          </w:p>
        </w:tc>
      </w:tr>
      <w:tr w14:paraId="1324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05" w:type="pct"/>
            <w:vAlign w:val="center"/>
          </w:tcPr>
          <w:p w14:paraId="161F7F54">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序号</w:t>
            </w:r>
          </w:p>
        </w:tc>
        <w:tc>
          <w:tcPr>
            <w:tcW w:w="371" w:type="pct"/>
            <w:vAlign w:val="center"/>
          </w:tcPr>
          <w:p w14:paraId="24A6E206">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事项名称</w:t>
            </w:r>
          </w:p>
        </w:tc>
        <w:tc>
          <w:tcPr>
            <w:tcW w:w="671" w:type="pct"/>
            <w:vAlign w:val="center"/>
          </w:tcPr>
          <w:p w14:paraId="0134BB10">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事项依据</w:t>
            </w:r>
          </w:p>
        </w:tc>
        <w:tc>
          <w:tcPr>
            <w:tcW w:w="2707" w:type="pct"/>
            <w:vAlign w:val="center"/>
          </w:tcPr>
          <w:p w14:paraId="3475F2F4">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检查标准</w:t>
            </w:r>
          </w:p>
        </w:tc>
        <w:tc>
          <w:tcPr>
            <w:tcW w:w="339" w:type="pct"/>
            <w:vAlign w:val="center"/>
          </w:tcPr>
          <w:p w14:paraId="30E08EE1">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时间</w:t>
            </w:r>
            <w:r>
              <w:rPr>
                <w:rFonts w:hint="eastAsia" w:ascii="仿宋" w:hAnsi="仿宋" w:eastAsia="仿宋" w:cs="仿宋"/>
                <w:color w:val="auto"/>
                <w:spacing w:val="4"/>
                <w:sz w:val="24"/>
                <w:szCs w:val="24"/>
              </w:rPr>
              <w:br w:type="textWrapping"/>
            </w:r>
            <w:r>
              <w:rPr>
                <w:rFonts w:hint="eastAsia" w:ascii="仿宋" w:hAnsi="仿宋" w:eastAsia="仿宋" w:cs="仿宋"/>
                <w:color w:val="auto"/>
                <w:spacing w:val="4"/>
                <w:sz w:val="24"/>
                <w:szCs w:val="24"/>
              </w:rPr>
              <w:t>安排</w:t>
            </w:r>
          </w:p>
        </w:tc>
        <w:tc>
          <w:tcPr>
            <w:tcW w:w="504" w:type="pct"/>
            <w:vAlign w:val="center"/>
          </w:tcPr>
          <w:p w14:paraId="2B7F1AFA">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年度检</w:t>
            </w:r>
            <w:r>
              <w:rPr>
                <w:rFonts w:hint="eastAsia" w:ascii="仿宋" w:hAnsi="仿宋" w:eastAsia="仿宋" w:cs="仿宋"/>
                <w:color w:val="auto"/>
                <w:spacing w:val="4"/>
                <w:sz w:val="24"/>
                <w:szCs w:val="24"/>
              </w:rPr>
              <w:br w:type="textWrapping"/>
            </w:r>
            <w:r>
              <w:rPr>
                <w:rFonts w:hint="eastAsia" w:ascii="仿宋" w:hAnsi="仿宋" w:eastAsia="仿宋" w:cs="仿宋"/>
                <w:color w:val="auto"/>
                <w:spacing w:val="4"/>
                <w:sz w:val="24"/>
                <w:szCs w:val="24"/>
              </w:rPr>
              <w:t>查频次</w:t>
            </w:r>
          </w:p>
        </w:tc>
      </w:tr>
      <w:tr w14:paraId="3F02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05" w:type="pct"/>
            <w:vAlign w:val="center"/>
          </w:tcPr>
          <w:p w14:paraId="17933560">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1</w:t>
            </w:r>
          </w:p>
        </w:tc>
        <w:tc>
          <w:tcPr>
            <w:tcW w:w="371" w:type="pct"/>
          </w:tcPr>
          <w:p w14:paraId="404D6E0E">
            <w:pPr>
              <w:snapToGrid w:val="0"/>
              <w:spacing w:after="0" w:line="240" w:lineRule="auto"/>
              <w:rPr>
                <w:rFonts w:hint="eastAsia" w:ascii="仿宋" w:hAnsi="仿宋" w:eastAsia="仿宋" w:cs="仿宋"/>
                <w:color w:val="auto"/>
                <w:spacing w:val="15"/>
                <w:kern w:val="0"/>
                <w:sz w:val="24"/>
                <w:szCs w:val="24"/>
              </w:rPr>
            </w:pPr>
            <w:r>
              <w:rPr>
                <w:rFonts w:hint="eastAsia" w:ascii="仿宋" w:hAnsi="仿宋" w:eastAsia="仿宋" w:cs="仿宋"/>
                <w:color w:val="auto"/>
                <w:spacing w:val="15"/>
                <w:kern w:val="0"/>
                <w:sz w:val="24"/>
                <w:szCs w:val="24"/>
              </w:rPr>
              <w:tab/>
            </w:r>
          </w:p>
          <w:p w14:paraId="06767D5C">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pacing w:val="15"/>
                <w:kern w:val="0"/>
                <w:sz w:val="24"/>
                <w:szCs w:val="24"/>
              </w:rPr>
              <w:t>对互联网服务营业场所的监督检查</w:t>
            </w:r>
          </w:p>
        </w:tc>
        <w:tc>
          <w:tcPr>
            <w:tcW w:w="671" w:type="pct"/>
          </w:tcPr>
          <w:p w14:paraId="5C735690">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pacing w:val="15"/>
                <w:kern w:val="0"/>
                <w:sz w:val="24"/>
                <w:szCs w:val="24"/>
              </w:rPr>
              <w:t>《互联网上网服务营业管理场所管理条例》第四条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2707" w:type="pct"/>
          </w:tcPr>
          <w:p w14:paraId="57C9E5AC">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 证照资质： 检查是否具有有效的《网络文化经营许可证》和营业执照，并按规定悬挂在营业场所显著位置。</w:t>
            </w:r>
          </w:p>
          <w:p w14:paraId="600C8CE9">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2. 未成年人禁入： 查看场所入口处及其他显著位置是否设有未成年人禁入标志。检查营业期间是否有未成年人进入，通过身份核对等方式确认上网人员年龄。</w:t>
            </w:r>
          </w:p>
          <w:p w14:paraId="1BD1D8CE">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3. 实名登记： 核实上网消费者是否进行实名登记，登记内容是否准确完整，包括姓名、身份证号码等信息。 检查场所是否按规定核对、登记上网消费者的有效身份证件。</w:t>
            </w:r>
          </w:p>
          <w:p w14:paraId="1AA7FB7B">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 经营管理技术措施：确认是否擅自停止实施经营管理技术措施，如网吧管理系统、安全监控系统等是否正常运行。 检查技术措施是否能有效防止未成年人上网、过滤不良信息等。</w:t>
            </w:r>
          </w:p>
          <w:p w14:paraId="5E4A7920">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5. 消防与安全：检查消防设施是否齐全、完好有效，如灭火器、消防栓、疏散指示标志、应急照明等。确保消防通道畅通无阻，无杂物堵塞。检查场所是否制定消防应急预案，并定期进行消防演练。 核实场所的电气设备、线路安装是否符合安全要求，有无私拉乱接电线等情况。</w:t>
            </w:r>
          </w:p>
          <w:p w14:paraId="3D23FFB8">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6. 环境卫生：查看场所整体环境卫生状况，包括地面、桌面、设备等是否清洁。检查通风换气情况，确保室内空气良好。</w:t>
            </w:r>
          </w:p>
          <w:p w14:paraId="763B85DF">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7. 食品安全（若提供食品服务）：若场所内提供食品销售或餐饮服务，检查员工是否持有健康证。查看食品原材料的采购台账、储存方式是否符合规定，是否存在过期食品，有无添加违禁添加剂等情况。</w:t>
            </w:r>
          </w:p>
          <w:p w14:paraId="5D768004">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8. 禁烟管理：检查场所内是否有明显的禁烟标识。确认场所内是否存在吸烟现象，经营者是否对吸烟行为进行劝阻。</w:t>
            </w:r>
          </w:p>
          <w:p w14:paraId="14A56C2E">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9. 网络内容：检查上网服务营业场所是否存在浏览非法网站、传播有害信息等违法违规行为。核实场所是否对网络内容进行有效监管和过滤。</w:t>
            </w:r>
          </w:p>
          <w:p w14:paraId="3DD18FE1">
            <w:pPr>
              <w:keepNext w:val="0"/>
              <w:keepLines w:val="0"/>
              <w:pageBreakBefore w:val="0"/>
              <w:widowControl/>
              <w:kinsoku/>
              <w:wordWrap/>
              <w:overflowPunct/>
              <w:topLinePunct w:val="0"/>
              <w:autoSpaceDE/>
              <w:autoSpaceDN/>
              <w:bidi w:val="0"/>
              <w:adjustRightInd/>
              <w:snapToGrid/>
              <w:spacing w:after="0" w:line="5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10. 其他方面：检查场所是否存在超范围经营等情况。</w:t>
            </w:r>
          </w:p>
        </w:tc>
        <w:tc>
          <w:tcPr>
            <w:tcW w:w="339" w:type="pct"/>
          </w:tcPr>
          <w:p w14:paraId="3F8F6AEB">
            <w:pPr>
              <w:snapToGrid w:val="0"/>
              <w:spacing w:after="0"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2026年3月份开展一次“双随机一公开“随机抽查。其余每月检查时间以省市县工作安排为准。</w:t>
            </w:r>
          </w:p>
        </w:tc>
        <w:tc>
          <w:tcPr>
            <w:tcW w:w="504" w:type="pct"/>
          </w:tcPr>
          <w:p w14:paraId="4B724EA3">
            <w:pPr>
              <w:snapToGrid w:val="0"/>
              <w:spacing w:after="0"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1次/</w:t>
            </w:r>
            <w:r>
              <w:rPr>
                <w:rFonts w:hint="eastAsia" w:ascii="仿宋" w:hAnsi="仿宋" w:eastAsia="仿宋" w:cs="仿宋"/>
                <w:color w:val="auto"/>
                <w:kern w:val="0"/>
                <w:sz w:val="24"/>
                <w:szCs w:val="24"/>
                <w:lang w:eastAsia="zh-CN"/>
              </w:rPr>
              <w:t>月</w:t>
            </w:r>
          </w:p>
        </w:tc>
      </w:tr>
      <w:tr w14:paraId="1B1A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5" w:hRule="atLeast"/>
          <w:jc w:val="center"/>
        </w:trPr>
        <w:tc>
          <w:tcPr>
            <w:tcW w:w="405" w:type="pct"/>
            <w:vAlign w:val="center"/>
          </w:tcPr>
          <w:p w14:paraId="6544BA6F">
            <w:pPr>
              <w:snapToGrid w:val="0"/>
              <w:spacing w:after="0" w:line="288" w:lineRule="auto"/>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2</w:t>
            </w:r>
          </w:p>
        </w:tc>
        <w:tc>
          <w:tcPr>
            <w:tcW w:w="371" w:type="pct"/>
          </w:tcPr>
          <w:p w14:paraId="4FA51989">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pacing w:val="15"/>
                <w:kern w:val="0"/>
                <w:sz w:val="24"/>
                <w:szCs w:val="24"/>
              </w:rPr>
              <w:t>对经营旅行社业务以及从事导游、领队服务是否取得经营、执业许可;旅行社的经营行为;导游和领队等旅游从业人员的服务行为;法律、法规规定的其他事项的监督检查</w:t>
            </w:r>
          </w:p>
        </w:tc>
        <w:tc>
          <w:tcPr>
            <w:tcW w:w="671" w:type="pct"/>
          </w:tcPr>
          <w:p w14:paraId="694C59E0">
            <w:pPr>
              <w:snapToGrid w:val="0"/>
              <w:spacing w:after="0" w:line="240" w:lineRule="auto"/>
              <w:rPr>
                <w:rFonts w:hint="eastAsia" w:ascii="仿宋" w:hAnsi="仿宋" w:eastAsia="仿宋" w:cs="仿宋"/>
                <w:color w:val="auto"/>
                <w:spacing w:val="15"/>
                <w:kern w:val="0"/>
                <w:sz w:val="24"/>
                <w:szCs w:val="24"/>
              </w:rPr>
            </w:pPr>
            <w:r>
              <w:rPr>
                <w:rFonts w:hint="eastAsia" w:ascii="仿宋" w:hAnsi="仿宋" w:eastAsia="仿宋" w:cs="仿宋"/>
                <w:color w:val="auto"/>
                <w:spacing w:val="15"/>
                <w:kern w:val="0"/>
                <w:sz w:val="24"/>
                <w:szCs w:val="24"/>
              </w:rPr>
              <w:t>《中华人民共和国旅游法》第八十五条县级以上人民政府旅游主管部门有权对下列事项实施监督检查:</w:t>
            </w:r>
          </w:p>
          <w:p w14:paraId="0169DE50">
            <w:pPr>
              <w:snapToGrid w:val="0"/>
              <w:spacing w:after="0" w:line="240" w:lineRule="auto"/>
              <w:rPr>
                <w:rFonts w:hint="eastAsia" w:ascii="仿宋" w:hAnsi="仿宋" w:eastAsia="仿宋" w:cs="仿宋"/>
                <w:color w:val="auto"/>
                <w:spacing w:val="15"/>
                <w:kern w:val="0"/>
                <w:sz w:val="24"/>
                <w:szCs w:val="24"/>
              </w:rPr>
            </w:pPr>
          </w:p>
          <w:p w14:paraId="51DFE001">
            <w:pPr>
              <w:snapToGrid w:val="0"/>
              <w:spacing w:after="0" w:line="240" w:lineRule="auto"/>
              <w:rPr>
                <w:rFonts w:hint="eastAsia" w:ascii="仿宋" w:hAnsi="仿宋" w:eastAsia="仿宋" w:cs="仿宋"/>
                <w:color w:val="auto"/>
                <w:spacing w:val="15"/>
                <w:kern w:val="0"/>
                <w:sz w:val="24"/>
                <w:szCs w:val="24"/>
              </w:rPr>
            </w:pPr>
            <w:r>
              <w:rPr>
                <w:rFonts w:hint="eastAsia" w:ascii="仿宋" w:hAnsi="仿宋" w:eastAsia="仿宋" w:cs="仿宋"/>
                <w:color w:val="auto"/>
                <w:spacing w:val="15"/>
                <w:kern w:val="0"/>
                <w:sz w:val="24"/>
                <w:szCs w:val="24"/>
              </w:rPr>
              <w:t>(一)经营旅行社业务以及从事导游、领队服务是否取得经营、执业许可；</w:t>
            </w:r>
          </w:p>
          <w:p w14:paraId="37101627">
            <w:pPr>
              <w:snapToGrid w:val="0"/>
              <w:spacing w:after="0" w:line="240" w:lineRule="auto"/>
              <w:rPr>
                <w:rFonts w:hint="eastAsia" w:ascii="仿宋" w:hAnsi="仿宋" w:eastAsia="仿宋" w:cs="仿宋"/>
                <w:color w:val="auto"/>
                <w:spacing w:val="15"/>
                <w:kern w:val="0"/>
                <w:sz w:val="24"/>
                <w:szCs w:val="24"/>
              </w:rPr>
            </w:pPr>
          </w:p>
          <w:p w14:paraId="21F5177D">
            <w:pPr>
              <w:snapToGrid w:val="0"/>
              <w:spacing w:after="0" w:line="240" w:lineRule="auto"/>
              <w:rPr>
                <w:rFonts w:hint="eastAsia" w:ascii="仿宋" w:hAnsi="仿宋" w:eastAsia="仿宋" w:cs="仿宋"/>
                <w:color w:val="auto"/>
                <w:spacing w:val="15"/>
                <w:kern w:val="0"/>
                <w:sz w:val="24"/>
                <w:szCs w:val="24"/>
              </w:rPr>
            </w:pPr>
            <w:r>
              <w:rPr>
                <w:rFonts w:hint="eastAsia" w:ascii="仿宋" w:hAnsi="仿宋" w:eastAsia="仿宋" w:cs="仿宋"/>
                <w:color w:val="auto"/>
                <w:spacing w:val="15"/>
                <w:kern w:val="0"/>
                <w:sz w:val="24"/>
                <w:szCs w:val="24"/>
              </w:rPr>
              <w:t>(二)旅行社的经营行为;</w:t>
            </w:r>
          </w:p>
          <w:p w14:paraId="1D45C2D4">
            <w:pPr>
              <w:snapToGrid w:val="0"/>
              <w:spacing w:after="0" w:line="240" w:lineRule="auto"/>
              <w:rPr>
                <w:rFonts w:hint="eastAsia" w:ascii="仿宋" w:hAnsi="仿宋" w:eastAsia="仿宋" w:cs="仿宋"/>
                <w:color w:val="auto"/>
                <w:spacing w:val="15"/>
                <w:kern w:val="0"/>
                <w:sz w:val="24"/>
                <w:szCs w:val="24"/>
              </w:rPr>
            </w:pPr>
          </w:p>
          <w:p w14:paraId="3A4EBB1D">
            <w:pPr>
              <w:snapToGrid w:val="0"/>
              <w:spacing w:after="0" w:line="240" w:lineRule="auto"/>
              <w:rPr>
                <w:rFonts w:hint="eastAsia" w:ascii="仿宋" w:hAnsi="仿宋" w:eastAsia="仿宋" w:cs="仿宋"/>
                <w:color w:val="auto"/>
                <w:spacing w:val="15"/>
                <w:kern w:val="0"/>
                <w:sz w:val="24"/>
                <w:szCs w:val="24"/>
              </w:rPr>
            </w:pPr>
            <w:r>
              <w:rPr>
                <w:rFonts w:hint="eastAsia" w:ascii="仿宋" w:hAnsi="仿宋" w:eastAsia="仿宋" w:cs="仿宋"/>
                <w:color w:val="auto"/>
                <w:spacing w:val="15"/>
                <w:kern w:val="0"/>
                <w:sz w:val="24"/>
                <w:szCs w:val="24"/>
              </w:rPr>
              <w:t>(三)导游和领队等旅游从业人员的服务行为;</w:t>
            </w:r>
          </w:p>
          <w:p w14:paraId="35DDAF6A">
            <w:pPr>
              <w:snapToGrid w:val="0"/>
              <w:spacing w:after="0" w:line="240" w:lineRule="auto"/>
              <w:rPr>
                <w:rFonts w:hint="eastAsia" w:ascii="仿宋" w:hAnsi="仿宋" w:eastAsia="仿宋" w:cs="仿宋"/>
                <w:color w:val="auto"/>
                <w:spacing w:val="15"/>
                <w:kern w:val="0"/>
                <w:sz w:val="24"/>
                <w:szCs w:val="24"/>
              </w:rPr>
            </w:pPr>
          </w:p>
          <w:p w14:paraId="3657F12B">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pacing w:val="15"/>
                <w:kern w:val="0"/>
                <w:sz w:val="24"/>
                <w:szCs w:val="24"/>
              </w:rPr>
              <w:t>(四）法律、法规规定的其他事项。</w:t>
            </w:r>
          </w:p>
        </w:tc>
        <w:tc>
          <w:tcPr>
            <w:tcW w:w="2707" w:type="pct"/>
          </w:tcPr>
          <w:p w14:paraId="54C6DCB4">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资质与许可： 旅行社应取得有效的旅行社业务经营许可证，并在许可范围内开展经营活动。检查时需确认许可证是否真实、有效，是否存在超范围经营的情况。查看旅行社的营业执照等相关证照是否齐全、合法。</w:t>
            </w:r>
          </w:p>
          <w:p w14:paraId="77E73069">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产品宣传与规范：旅游广告语言应规范准确，不能有违规、虚假、误导内容。检查广告中是否具备旅行社名称、许可证号、类别、地址、联系电话、旅游投诉电话等基本信息。 宣传品的语言也需规范准确，无违规、虚假、误导内容，且刊登企业所获得荣誉称号时必须注明获得年度。检查旅行社产品是否符合法律、法规、规章的要求，包括无违规、虚假广告，宣传品和其他档案材料中无违规产品内容等。</w:t>
            </w:r>
          </w:p>
          <w:p w14:paraId="2F1367C7">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安全保障： 旅行社应制定各业务环节的安全制度，包括针对高风险旅游项目制订安全保障措施。例如，对于涉及登山、潜水、探险等高风险项目，要有相应的安全操作规程和应急预案。检查旅行社是否要求游客提供自身健康状况适宜参加该高风险旅游项目、自愿参加的书面说明。确认旅行社具备各类应急预案，如事故伤亡应急预案、疾病救治应急预案、财物丢失和被盗应急预案、行程受阻应急预案、游客走失应急预案等，以及是否有事故报告制度。查看旅行社对合作方安全资质的管理情况，如是否有合作汽车公司的安全资质证明、合作餐馆的食品卫生许可证明以及其他合作方的安全资质证明等。</w:t>
            </w:r>
          </w:p>
          <w:p w14:paraId="5E94E8BE">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合同与履约：检查旅行社与游客签订的旅游合同是否规范、完整，合同内容应包括行程安排、交通、住宿、餐饮、游览项目、购物安排、自费项目、保险等事项，且双方的权利义务要明确。 了解旅行社是否按照合同约定全面履行义务，如是否按合同提供相应的服务标准、是否存在擅自变更行程、减少服务项目等违约行为。</w:t>
            </w:r>
          </w:p>
          <w:p w14:paraId="6D3BC986">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导游管理：检查旅行社所聘用导游的资质情况，导游应持有有效的导游证。了解导游的服务质量，包括导游的讲解水平、服务态度、是否遵守职业道德等。确认旅行社对导游的培训和管理情况，导游是否熟悉旅游线路和景点情况，是否能够及时处理游客的问题和投诉。</w:t>
            </w:r>
          </w:p>
        </w:tc>
        <w:tc>
          <w:tcPr>
            <w:tcW w:w="339" w:type="pct"/>
          </w:tcPr>
          <w:p w14:paraId="24196602">
            <w:pPr>
              <w:snapToGrid w:val="0"/>
              <w:spacing w:after="0"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2026年4月开展双随机一公开旅行社专项抽查；2026年9月开展 国庆节前旅行社双随机一公开专项抽查</w:t>
            </w:r>
          </w:p>
        </w:tc>
        <w:tc>
          <w:tcPr>
            <w:tcW w:w="504" w:type="pct"/>
          </w:tcPr>
          <w:p w14:paraId="48D81CC6">
            <w:pPr>
              <w:snapToGrid w:val="0"/>
              <w:spacing w:after="0"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双随机一公开工作2次/年，其余行政检查次数以省市县工作安排为准</w:t>
            </w:r>
          </w:p>
        </w:tc>
      </w:tr>
      <w:tr w14:paraId="4157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05" w:type="pct"/>
            <w:vAlign w:val="center"/>
          </w:tcPr>
          <w:p w14:paraId="60B6E571">
            <w:pPr>
              <w:snapToGrid w:val="0"/>
              <w:spacing w:after="0" w:line="288" w:lineRule="auto"/>
              <w:jc w:val="center"/>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val="en-US" w:eastAsia="zh-CN"/>
              </w:rPr>
              <w:t>3</w:t>
            </w:r>
          </w:p>
        </w:tc>
        <w:tc>
          <w:tcPr>
            <w:tcW w:w="371" w:type="pct"/>
          </w:tcPr>
          <w:p w14:paraId="274D05C0">
            <w:pPr>
              <w:snapToGrid w:val="0"/>
              <w:spacing w:after="0" w:line="240" w:lineRule="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对娱乐场所的监督检查</w:t>
            </w:r>
          </w:p>
        </w:tc>
        <w:tc>
          <w:tcPr>
            <w:tcW w:w="671" w:type="pct"/>
          </w:tcPr>
          <w:p w14:paraId="780FD917">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娱乐场所管理条例》第三十二条各级文化主管部门、公安部门和其他有关部门的工作人员依法履行监督检查职责时，有权进入娱乐场所。娱乐场所应当予以配合，不得拒绝、阻挠。文化主管部门、公安部门和其他有关部门的工作人员依法履行监督检查职责时，需要查阅闭路电视监控录像资料、从业人员名簿、营业日志等资料的，娱乐场所应当及时提供。</w:t>
            </w:r>
          </w:p>
        </w:tc>
        <w:tc>
          <w:tcPr>
            <w:tcW w:w="2707" w:type="pct"/>
          </w:tcPr>
          <w:p w14:paraId="1F2BA8A0">
            <w:pPr>
              <w:snapToGrid w:val="0"/>
              <w:spacing w:after="0"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​经营资质与证件检查​：</w:t>
            </w:r>
          </w:p>
          <w:p w14:paraId="7C5FA166">
            <w:pPr>
              <w:snapToGrid w:val="0"/>
              <w:spacing w:after="0" w:line="240" w:lineRule="auto"/>
              <w:rPr>
                <w:rFonts w:hint="eastAsia" w:ascii="仿宋" w:hAnsi="仿宋" w:eastAsia="仿宋" w:cs="仿宋"/>
                <w:color w:val="auto"/>
                <w:sz w:val="24"/>
                <w:szCs w:val="24"/>
              </w:rPr>
            </w:pPr>
          </w:p>
          <w:p w14:paraId="17101EA0">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检查娱乐场所是否持有合法有效的营业执照，以及是否按照营业执照上载明的经营范围进行经营。</w:t>
            </w:r>
          </w:p>
          <w:p w14:paraId="21D973F0">
            <w:pPr>
              <w:snapToGrid w:val="0"/>
              <w:spacing w:after="0" w:line="240" w:lineRule="auto"/>
              <w:rPr>
                <w:rFonts w:hint="eastAsia" w:ascii="仿宋" w:hAnsi="仿宋" w:eastAsia="仿宋" w:cs="仿宋"/>
                <w:color w:val="auto"/>
                <w:sz w:val="24"/>
                <w:szCs w:val="24"/>
              </w:rPr>
            </w:pPr>
          </w:p>
          <w:p w14:paraId="051FC21D">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检查娱乐场所是否具备相关的文化市场经营许可证或备案证明，如娱乐经营许可证、网络文化经营许可证等。</w:t>
            </w:r>
          </w:p>
          <w:p w14:paraId="2C7A6B38">
            <w:pPr>
              <w:snapToGrid w:val="0"/>
              <w:spacing w:after="0" w:line="240" w:lineRule="auto"/>
              <w:rPr>
                <w:rFonts w:hint="eastAsia" w:ascii="仿宋" w:hAnsi="仿宋" w:eastAsia="仿宋" w:cs="仿宋"/>
                <w:color w:val="auto"/>
                <w:sz w:val="24"/>
                <w:szCs w:val="24"/>
              </w:rPr>
            </w:pPr>
          </w:p>
          <w:p w14:paraId="6ED88E9D">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2.​内容合规性检查​：</w:t>
            </w:r>
          </w:p>
          <w:p w14:paraId="003B0344">
            <w:pPr>
              <w:snapToGrid w:val="0"/>
              <w:spacing w:after="0" w:line="240" w:lineRule="auto"/>
              <w:rPr>
                <w:rFonts w:hint="eastAsia" w:ascii="仿宋" w:hAnsi="仿宋" w:eastAsia="仿宋" w:cs="仿宋"/>
                <w:color w:val="auto"/>
                <w:sz w:val="24"/>
                <w:szCs w:val="24"/>
              </w:rPr>
            </w:pPr>
          </w:p>
          <w:p w14:paraId="3351D465">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检查娱乐场所提供的文化产品或服务内容是否符合法律法规的规定，是否存在违法违规的内容，如色情、暴力、赌博等。</w:t>
            </w:r>
          </w:p>
          <w:p w14:paraId="356A2F1F">
            <w:pPr>
              <w:snapToGrid w:val="0"/>
              <w:spacing w:after="0" w:line="240" w:lineRule="auto"/>
              <w:rPr>
                <w:rFonts w:hint="eastAsia" w:ascii="仿宋" w:hAnsi="仿宋" w:eastAsia="仿宋" w:cs="仿宋"/>
                <w:color w:val="auto"/>
                <w:sz w:val="24"/>
                <w:szCs w:val="24"/>
              </w:rPr>
            </w:pPr>
          </w:p>
          <w:p w14:paraId="5D218E2A">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检查娱乐场所是否落实了内容审核制度，对提供的文化产品或服务内容进行了严格的审核把关。</w:t>
            </w:r>
          </w:p>
          <w:p w14:paraId="2B13F804">
            <w:pPr>
              <w:snapToGrid w:val="0"/>
              <w:spacing w:after="0" w:line="240" w:lineRule="auto"/>
              <w:rPr>
                <w:rFonts w:hint="eastAsia" w:ascii="仿宋" w:hAnsi="仿宋" w:eastAsia="仿宋" w:cs="仿宋"/>
                <w:color w:val="auto"/>
                <w:sz w:val="24"/>
                <w:szCs w:val="24"/>
              </w:rPr>
            </w:pPr>
          </w:p>
          <w:p w14:paraId="4AB60FFD">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3.​安全生产与消防安全检查​：</w:t>
            </w:r>
          </w:p>
          <w:p w14:paraId="693DF475">
            <w:pPr>
              <w:snapToGrid w:val="0"/>
              <w:spacing w:after="0" w:line="240" w:lineRule="auto"/>
              <w:rPr>
                <w:rFonts w:hint="eastAsia" w:ascii="仿宋" w:hAnsi="仿宋" w:eastAsia="仿宋" w:cs="仿宋"/>
                <w:color w:val="auto"/>
                <w:sz w:val="24"/>
                <w:szCs w:val="24"/>
              </w:rPr>
            </w:pPr>
          </w:p>
          <w:p w14:paraId="4AFEF999">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检查娱乐场所的安全生产制度是否健全，是否落实了安全生产责任制，以及是否存在安全隐患。</w:t>
            </w:r>
          </w:p>
          <w:p w14:paraId="3370FD7D">
            <w:pPr>
              <w:snapToGrid w:val="0"/>
              <w:spacing w:after="0" w:line="240" w:lineRule="auto"/>
              <w:rPr>
                <w:rFonts w:hint="eastAsia" w:ascii="仿宋" w:hAnsi="仿宋" w:eastAsia="仿宋" w:cs="仿宋"/>
                <w:color w:val="auto"/>
                <w:sz w:val="24"/>
                <w:szCs w:val="24"/>
              </w:rPr>
            </w:pPr>
          </w:p>
          <w:p w14:paraId="491BA80F">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检查娱乐场所的消防安全设施是否完善，是否定期进行了消防安全检查和演练，以及是否能够确保在紧急情况下疏散人员。</w:t>
            </w:r>
          </w:p>
          <w:p w14:paraId="3FEA8209">
            <w:pPr>
              <w:snapToGrid w:val="0"/>
              <w:spacing w:after="0" w:line="240" w:lineRule="auto"/>
              <w:rPr>
                <w:rFonts w:hint="eastAsia" w:ascii="仿宋" w:hAnsi="仿宋" w:eastAsia="仿宋" w:cs="仿宋"/>
                <w:color w:val="auto"/>
                <w:sz w:val="24"/>
                <w:szCs w:val="24"/>
              </w:rPr>
            </w:pPr>
          </w:p>
          <w:p w14:paraId="7CA85149">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4.​未成年人保护检查​：</w:t>
            </w:r>
          </w:p>
          <w:p w14:paraId="1F0BB61D">
            <w:pPr>
              <w:snapToGrid w:val="0"/>
              <w:spacing w:after="0" w:line="240" w:lineRule="auto"/>
              <w:rPr>
                <w:rFonts w:hint="eastAsia" w:ascii="仿宋" w:hAnsi="仿宋" w:eastAsia="仿宋" w:cs="仿宋"/>
                <w:color w:val="auto"/>
                <w:sz w:val="24"/>
                <w:szCs w:val="24"/>
              </w:rPr>
            </w:pPr>
          </w:p>
          <w:p w14:paraId="4B8A98B0">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检查娱乐场所是否落实了未成年人保护措施，如是否设置了未成年人禁入标志，是否对未成年人进行了身份核实等。</w:t>
            </w:r>
          </w:p>
          <w:p w14:paraId="7A83D138">
            <w:pPr>
              <w:snapToGrid w:val="0"/>
              <w:spacing w:after="0" w:line="240" w:lineRule="auto"/>
              <w:rPr>
                <w:rFonts w:hint="eastAsia" w:ascii="仿宋" w:hAnsi="仿宋" w:eastAsia="仿宋" w:cs="仿宋"/>
                <w:color w:val="auto"/>
                <w:sz w:val="24"/>
                <w:szCs w:val="24"/>
              </w:rPr>
            </w:pPr>
          </w:p>
          <w:p w14:paraId="494BFF81">
            <w:pPr>
              <w:snapToGrid w:val="0"/>
              <w:spacing w:after="0"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 检查娱乐场所是否存在接纳未成年人进入或向未成年人提供违法违规文化产品或服务的行为。</w:t>
            </w:r>
          </w:p>
        </w:tc>
        <w:tc>
          <w:tcPr>
            <w:tcW w:w="339" w:type="pct"/>
          </w:tcPr>
          <w:p w14:paraId="38787BB6">
            <w:pPr>
              <w:snapToGrid w:val="0"/>
              <w:spacing w:after="0"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2026年5月对全县娱乐场所开展双随机一公开专项抽查</w:t>
            </w:r>
          </w:p>
        </w:tc>
        <w:tc>
          <w:tcPr>
            <w:tcW w:w="504" w:type="pct"/>
          </w:tcPr>
          <w:p w14:paraId="33BC0298">
            <w:pPr>
              <w:snapToGrid w:val="0"/>
              <w:spacing w:after="0"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双随机一公开工作</w:t>
            </w:r>
            <w:r>
              <w:rPr>
                <w:rFonts w:hint="eastAsia" w:ascii="仿宋" w:hAnsi="仿宋" w:eastAsia="仿宋" w:cs="仿宋"/>
                <w:color w:val="auto"/>
                <w:sz w:val="24"/>
                <w:szCs w:val="24"/>
                <w:lang w:val="en-US" w:eastAsia="zh-CN"/>
              </w:rPr>
              <w:t>1次/年，其余行政检查以省市县工作安排为准。</w:t>
            </w:r>
          </w:p>
        </w:tc>
      </w:tr>
      <w:tr w14:paraId="446A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405" w:type="pct"/>
            <w:vAlign w:val="center"/>
          </w:tcPr>
          <w:p w14:paraId="24E04499">
            <w:pPr>
              <w:snapToGrid w:val="0"/>
              <w:spacing w:after="0" w:line="288" w:lineRule="auto"/>
              <w:jc w:val="center"/>
              <w:rPr>
                <w:rFonts w:hint="eastAsia"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4</w:t>
            </w:r>
          </w:p>
        </w:tc>
        <w:tc>
          <w:tcPr>
            <w:tcW w:w="371" w:type="pct"/>
          </w:tcPr>
          <w:p w14:paraId="52E6D023">
            <w:pPr>
              <w:snapToGrid w:val="0"/>
              <w:spacing w:after="0" w:line="240" w:lineRule="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对文旅经营场所安全检查</w:t>
            </w:r>
          </w:p>
        </w:tc>
        <w:tc>
          <w:tcPr>
            <w:tcW w:w="671" w:type="pct"/>
          </w:tcPr>
          <w:p w14:paraId="057BF63A">
            <w:pPr>
              <w:snapToGrid w:val="0"/>
              <w:spacing w:after="0"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陕西省安全生产条例第</w:t>
            </w:r>
            <w:r>
              <w:rPr>
                <w:rFonts w:hint="eastAsia" w:ascii="仿宋" w:hAnsi="仿宋" w:eastAsia="仿宋" w:cs="仿宋"/>
                <w:color w:val="auto"/>
                <w:sz w:val="24"/>
                <w:szCs w:val="24"/>
                <w:lang w:val="en-US" w:eastAsia="zh-CN"/>
              </w:rPr>
              <w:t>44条</w:t>
            </w:r>
            <w:r>
              <w:rPr>
                <w:rFonts w:hint="eastAsia" w:ascii="仿宋" w:hAnsi="仿宋" w:eastAsia="仿宋" w:cs="仿宋"/>
                <w:color w:val="auto"/>
                <w:sz w:val="24"/>
                <w:szCs w:val="24"/>
                <w:lang w:eastAsia="zh-CN"/>
              </w:rPr>
              <w:t>负有安全生产监督管理职责的部门应当按照分类分级监督管理的要求，制定安全生产年度监督检查计划，依法对生产经营单位进行监督检查。</w:t>
            </w:r>
          </w:p>
        </w:tc>
        <w:tc>
          <w:tcPr>
            <w:tcW w:w="2707" w:type="pct"/>
          </w:tcPr>
          <w:p w14:paraId="2226F6F0">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（一）进入生产经营单位进行检查，调阅有关资料，向有关单位和人员了解情况；</w:t>
            </w:r>
          </w:p>
          <w:p w14:paraId="12883064">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（二）对检查中发现的安全生产违法行为，当场予以纠正或者要求限期改正；对依法应当给予行政处罚的行为，依照本条例和其他有关法律、法规的规定作出行政处罚决定；</w:t>
            </w:r>
          </w:p>
          <w:p w14:paraId="4E892643">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（三）对生产经营单位有关全员安全生产责任制、事故隐患排查治理以及重大危险源辨识、评估、监控等制度的建立落实情况进行指导和监督检查；</w:t>
            </w:r>
          </w:p>
          <w:p w14:paraId="0948DC8A">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（四）根据检查情况分析生产经营单位的安全生产形势，制定并落实有针对性的监督管理措施；</w:t>
            </w:r>
          </w:p>
          <w:p w14:paraId="41015C33">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（五）执行重大事故隐患挂牌督办制度，督促生产经营单位及时消除重大事故隐患；</w:t>
            </w:r>
          </w:p>
          <w:p w14:paraId="31C2446F">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（六）按照规定报告事故情况，依法组织或者参与由本级人民政府负责的事故调查处理，指导、协调有关应急救援工作，协助做好事故善后工作，督促落实事故处理的有关决定；</w:t>
            </w:r>
          </w:p>
          <w:p w14:paraId="2F605BD8">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（七）对矿山、金属冶炼和用于生产、储存危险物品的建设单位组织的安全设施竣工验收活动和验收结果实施监督核查；</w:t>
            </w:r>
          </w:p>
          <w:p w14:paraId="5AFECA86">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（八）法律、法规规定的其他安全生产监督管理职责。</w:t>
            </w:r>
          </w:p>
          <w:p w14:paraId="50C36D22">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对于涉及多个行业、领域的生产经营单位，负有安全生产监督管理职责的部门应当互相配合，组织开展联合检查，避免重复检查。</w:t>
            </w:r>
          </w:p>
          <w:p w14:paraId="1F56961D">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负有安全生产监督管理职责的部门可以聘请专业技术检查员或者邀请专业技术人员和专家参与安全生产监督检查、生产安全事故调查等工作。</w:t>
            </w:r>
          </w:p>
          <w:p w14:paraId="0EC5D3B2">
            <w:pPr>
              <w:snapToGrid w:val="0"/>
              <w:spacing w:after="0" w:line="240" w:lineRule="auto"/>
              <w:rPr>
                <w:rFonts w:hint="eastAsia" w:ascii="仿宋" w:hAnsi="仿宋" w:eastAsia="仿宋" w:cs="仿宋"/>
                <w:color w:val="auto"/>
                <w:sz w:val="24"/>
                <w:szCs w:val="24"/>
              </w:rPr>
            </w:pPr>
          </w:p>
        </w:tc>
        <w:tc>
          <w:tcPr>
            <w:tcW w:w="339" w:type="pct"/>
          </w:tcPr>
          <w:p w14:paraId="03F165B6">
            <w:pPr>
              <w:snapToGrid w:val="0"/>
              <w:spacing w:after="0"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根据市文旅局和县安委办关于安全生产工作部署要求，结合文旅行业实际，履行安全生产监管职责，进行必要检查。</w:t>
            </w:r>
          </w:p>
        </w:tc>
        <w:tc>
          <w:tcPr>
            <w:tcW w:w="504" w:type="pct"/>
          </w:tcPr>
          <w:p w14:paraId="51C080F6">
            <w:pPr>
              <w:snapToGrid w:val="0"/>
              <w:spacing w:after="0"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每月</w:t>
            </w:r>
            <w:r>
              <w:rPr>
                <w:rFonts w:hint="eastAsia" w:ascii="仿宋" w:hAnsi="仿宋" w:eastAsia="仿宋" w:cs="仿宋"/>
                <w:color w:val="auto"/>
                <w:sz w:val="24"/>
                <w:szCs w:val="24"/>
                <w:lang w:val="en-US" w:eastAsia="zh-CN"/>
              </w:rPr>
              <w:t>1次</w:t>
            </w:r>
          </w:p>
        </w:tc>
      </w:tr>
    </w:tbl>
    <w:p w14:paraId="0C164E1D">
      <w:pPr>
        <w:rPr>
          <w:rFonts w:hint="eastAsia" w:ascii="仿宋" w:hAnsi="仿宋" w:eastAsia="仿宋" w:cs="仿宋"/>
          <w:color w:val="auto"/>
          <w:sz w:val="24"/>
          <w:szCs w:val="24"/>
        </w:rPr>
      </w:pPr>
    </w:p>
    <w:sectPr>
      <w:type w:val="continuous"/>
      <w:pgSz w:w="22440" w:h="16840"/>
      <w:pgMar w:top="660" w:right="1170" w:bottom="660" w:left="1170" w:header="720" w:footer="720" w:gutter="0"/>
      <w:cols w:equalWidth="0" w:num="1">
        <w:col w:w="2010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6E700E5"/>
    <w:rsid w:val="1849787C"/>
    <w:rsid w:val="5A2E0133"/>
    <w:rsid w:val="6AD80146"/>
    <w:rsid w:val="6B4A70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6"/>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uiPriority w:val="99"/>
  </w:style>
  <w:style w:type="character" w:customStyle="1" w:styleId="137">
    <w:name w:val="Footer Char"/>
    <w:basedOn w:val="133"/>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uiPriority w:val="99"/>
    <w:rPr>
      <w:sz w:val="16"/>
      <w:szCs w:val="16"/>
    </w:rPr>
  </w:style>
  <w:style w:type="character" w:customStyle="1" w:styleId="148">
    <w:name w:val="Macro Text Char"/>
    <w:basedOn w:val="133"/>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3497</Words>
  <Characters>3537</Characters>
  <Lines>0</Lines>
  <Paragraphs>0</Paragraphs>
  <TotalTime>58</TotalTime>
  <ScaleCrop>false</ScaleCrop>
  <LinksUpToDate>false</LinksUpToDate>
  <CharactersWithSpaces>3681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黄治培</cp:lastModifiedBy>
  <dcterms:modified xsi:type="dcterms:W3CDTF">2026-01-23T00:15:53Z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eyJoZGlkIjoiOTlkOWNlMjEwY2U0Y2JmOTc3M2RhNWUzYzIzMTAzYzkiLCJ1c2VySWQiOiI4NjYxNDY4MzAifQ==</vt:lpwstr>
  </property>
  <property fmtid="{D5CDD505-2E9C-101B-9397-08002B2CF9AE}" pid="3" name="KSOProductBuildVer">
    <vt:lpwstr>2052-12.1.0.24657</vt:lpwstr>
  </property>
  <property fmtid="{D5CDD505-2E9C-101B-9397-08002B2CF9AE}" pid="4" name="ICV">
    <vt:lpwstr>7367C232477C46828AF6863D9A9EF447_13</vt:lpwstr>
  </property>
</Properties>
</file>