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城固县人民政府办公室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1"/>
          <w:sz w:val="44"/>
          <w:szCs w:val="44"/>
        </w:rPr>
        <w:t>2023年政府信息公开工作年度报告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Times New Roman" w:eastAsia="仿宋_GB2312" w:cs="Times New Roman"/>
          <w:kern w:val="21"/>
          <w:sz w:val="32"/>
          <w:szCs w:val="32"/>
        </w:rPr>
      </w:pPr>
      <w:bookmarkStart w:id="0" w:name="OLE_LINK1"/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依据《中华人民共和国政府信息公开条例》(以下简称《条例》)第五十条规定，编制城固县人民政府办公室202</w:t>
      </w:r>
      <w:r>
        <w:rPr>
          <w:rFonts w:ascii="仿宋_GB2312" w:hAnsi="Times New Roman" w:eastAsia="仿宋_GB2312" w:cs="Times New Roman"/>
          <w:kern w:val="21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年政府信息公开工作年度报告。本报告中所列数据统计期限自202</w:t>
      </w:r>
      <w:r>
        <w:rPr>
          <w:rFonts w:ascii="仿宋_GB2312" w:hAnsi="Times New Roman" w:eastAsia="仿宋_GB2312" w:cs="Times New Roman"/>
          <w:kern w:val="21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年1月1日起至202</w:t>
      </w:r>
      <w:r>
        <w:rPr>
          <w:rFonts w:ascii="仿宋_GB2312" w:hAnsi="Times New Roman" w:eastAsia="仿宋_GB2312" w:cs="Times New Roman"/>
          <w:kern w:val="21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年12月31日止。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一、总体情况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21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Calibri"/>
          <w:kern w:val="0"/>
          <w:sz w:val="32"/>
          <w:szCs w:val="32"/>
          <w14:ligatures w14:val="none"/>
        </w:rPr>
        <w:t>（一）主动公开情况。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一是全年</w:t>
      </w:r>
      <w:r>
        <w:rPr>
          <w:rFonts w:ascii="Times New Roman" w:hAnsi="Times New Roman" w:eastAsia="仿宋_GB2312" w:cs="Times New Roman"/>
          <w:sz w:val="32"/>
          <w:szCs w:val="32"/>
        </w:rPr>
        <w:t>在政府网站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主动公开各类</w:t>
      </w:r>
      <w:r>
        <w:rPr>
          <w:rFonts w:ascii="Times New Roman" w:hAnsi="Times New Roman" w:eastAsia="仿宋_GB2312" w:cs="Times New Roman"/>
          <w:sz w:val="32"/>
          <w:szCs w:val="32"/>
        </w:rPr>
        <w:t>信息7100余条，其中重点领域信息1900余条、政务动态信息1800余条、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政府文件389个、规范性文件4个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网站访问量202万次以上。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二是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建立重大政策多样化解读机制，对教育、医疗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社保等公众关注政策采取图文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视频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、领导干部解读等多种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形式重点解读，同步发布解读材料15篇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三是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坚持县人大代表、政协委员、“两代表一委员”列席政府常务会议制度，对适宜公开议题发布新闻资料进行解读，对涉及群众切身利益、需要社会广泛知晓的重大政策措施、重要改革方案、重点建设项目，在决策前通过调查研究、媒体吹风、网络征集等方式广泛听取民意，全年发布县政府常务会议新闻稿18篇，开展民意调查征集6次。</w:t>
      </w: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严格落实《城固县网上群众路线直通车工作方案》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</w:t>
      </w:r>
      <w:r>
        <w:rPr>
          <w:rFonts w:ascii="Times New Roman" w:hAnsi="Times New Roman" w:eastAsia="仿宋_GB2312" w:cs="Times New Roman"/>
          <w:sz w:val="32"/>
          <w:szCs w:val="32"/>
        </w:rPr>
        <w:t>关要求，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高质量办结</w:t>
      </w:r>
      <w:r>
        <w:rPr>
          <w:rFonts w:ascii="Times New Roman" w:hAnsi="Times New Roman" w:eastAsia="仿宋_GB2312" w:cs="Times New Roman"/>
          <w:sz w:val="32"/>
          <w:szCs w:val="32"/>
        </w:rPr>
        <w:t>《县长信箱》</w:t>
      </w:r>
      <w:bookmarkStart w:id="1" w:name="OLE_LINK2"/>
      <w:r>
        <w:rPr>
          <w:rFonts w:ascii="Times New Roman" w:hAnsi="Times New Roman" w:eastAsia="仿宋_GB2312" w:cs="Times New Roman"/>
          <w:sz w:val="32"/>
          <w:szCs w:val="32"/>
        </w:rPr>
        <w:t>群众来信293件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560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kern w:val="0"/>
          <w:sz w:val="32"/>
          <w:szCs w:val="32"/>
          <w14:ligatures w14:val="none"/>
        </w:rPr>
        <w:t>（二）依申请公开办理情况。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严格按照《条例》和《陕西省政府信息依申请公开答复示范文本》规定，畅通现场、信函、网络申请信息公开渠道，全年受理依申请公开</w:t>
      </w:r>
      <w:r>
        <w:rPr>
          <w:rFonts w:ascii="仿宋_GB2312" w:hAnsi="微软雅黑" w:eastAsia="仿宋_GB2312" w:cs="宋体"/>
          <w:kern w:val="0"/>
          <w:sz w:val="32"/>
          <w:szCs w:val="32"/>
          <w14:ligatures w14:val="none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件，予以公开</w:t>
      </w:r>
      <w:r>
        <w:rPr>
          <w:rFonts w:ascii="仿宋_GB2312" w:hAnsi="微软雅黑" w:eastAsia="仿宋_GB2312" w:cs="宋体"/>
          <w:kern w:val="0"/>
          <w:sz w:val="32"/>
          <w:szCs w:val="32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件、部分公开1件、结转下年度继续办理1件。</w:t>
      </w:r>
    </w:p>
    <w:p>
      <w:pPr>
        <w:widowControl/>
        <w:shd w:val="clear" w:color="auto" w:fill="FFFFFF"/>
        <w:spacing w:line="600" w:lineRule="exact"/>
        <w:ind w:firstLine="480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kern w:val="0"/>
          <w:sz w:val="32"/>
          <w:szCs w:val="32"/>
          <w14:ligatures w14:val="none"/>
        </w:rPr>
        <w:t>（三）政府信息管理情况。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一是编制印发《2023年城固县政务公开工作绩效评估指标的通知》，进一步规范政务公开内容和标准；二是加强保密审查，严格落实“三审三校”制度和常态化巡查，确保发布信息准确权威。</w:t>
      </w:r>
    </w:p>
    <w:p>
      <w:pPr>
        <w:widowControl/>
        <w:shd w:val="clear" w:color="auto" w:fill="FFFFFF"/>
        <w:spacing w:line="600" w:lineRule="exact"/>
        <w:ind w:firstLine="480"/>
        <w:rPr>
          <w:rFonts w:ascii="仿宋_GB2312" w:hAnsi="宋体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楷体_GB2312" w:hAnsi="微软雅黑" w:eastAsia="楷体_GB2312" w:cs="Calibri"/>
          <w:kern w:val="0"/>
          <w:sz w:val="32"/>
          <w:szCs w:val="32"/>
          <w14:ligatures w14:val="none"/>
        </w:rPr>
        <w:t>（四）公开平台建设情况。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一是紧扣工作实际和群众需求，网站新开设“政府网站与政务新媒体管理”和“城固消防”2个专题专栏，共</w:t>
      </w:r>
      <w:r>
        <w:rPr>
          <w:rFonts w:ascii="Times New Roman" w:hAnsi="Times New Roman" w:eastAsia="仿宋_GB2312" w:cs="Times New Roman"/>
          <w:sz w:val="32"/>
          <w:szCs w:val="32"/>
        </w:rPr>
        <w:t>更新维护专题专栏11个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。二是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规范政务新媒体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管理，严格按照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报备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审批程序进行账号的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开设、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变更、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关停</w:t>
      </w:r>
      <w:r>
        <w:rPr>
          <w:rFonts w:hint="eastAsia"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000000" w:themeColor="text1"/>
          <w:kern w:val="21"/>
          <w:sz w:val="32"/>
          <w:szCs w:val="32"/>
        </w:rPr>
        <w:t>注销，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全年关停下线不合格新媒体账号10个，正在关停下线新媒体账号1个，正常运行政务新媒体55个。</w:t>
      </w:r>
    </w:p>
    <w:p>
      <w:pPr>
        <w:widowControl/>
        <w:shd w:val="clear" w:color="auto" w:fill="FFFFFF"/>
        <w:spacing w:line="600" w:lineRule="exact"/>
        <w:ind w:firstLine="480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楷体_GB2312" w:hAnsi="微软雅黑" w:eastAsia="楷体_GB2312" w:cs="Calibri"/>
          <w:kern w:val="0"/>
          <w:sz w:val="32"/>
          <w:szCs w:val="32"/>
          <w14:ligatures w14:val="none"/>
        </w:rPr>
        <w:t>（五）监督保障情况。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一是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利用机器扫描、人工检查等方法强化日常运行监管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严格落实“日监测、月督查、季通报、年考核”和负面清单扣分制度，</w:t>
      </w:r>
      <w:r>
        <w:rPr>
          <w:rFonts w:hint="eastAsia" w:ascii="仿宋_GB2312" w:hAnsi="Times New Roman" w:eastAsia="仿宋_GB2312" w:cs="Times New Roman"/>
          <w:kern w:val="21"/>
          <w:sz w:val="32"/>
          <w:szCs w:val="32"/>
        </w:rPr>
        <w:t>全年共印发各类检查通报8期，不断增强各单位对政务公开工作的主动性和责任感，保障政府信息公开的时效性和权威性。二是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委托第三方机构对网站和新媒体政务公开工作进行日常评估，排查问题，持续提高政务公开工作效率。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二、主动公开政府信息情况</w:t>
      </w:r>
    </w:p>
    <w:tbl>
      <w:tblPr>
        <w:tblStyle w:val="5"/>
        <w:tblW w:w="101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9"/>
        <w:gridCol w:w="2343"/>
        <w:gridCol w:w="1588"/>
        <w:gridCol w:w="23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制发件数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</w:t>
            </w:r>
          </w:p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Calibri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本年处理决定数量</w:t>
            </w:r>
            <w:bookmarkStart w:id="2" w:name="_GoBack"/>
            <w:bookmarkEnd w:id="2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0"/>
          <w:szCs w:val="20"/>
          <w14:ligatures w14:val="none"/>
        </w:rPr>
        <w:t> </w:t>
      </w:r>
    </w:p>
    <w:p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076"/>
        <w:gridCol w:w="156"/>
        <w:gridCol w:w="1887"/>
        <w:gridCol w:w="619"/>
        <w:gridCol w:w="731"/>
        <w:gridCol w:w="731"/>
        <w:gridCol w:w="776"/>
        <w:gridCol w:w="892"/>
        <w:gridCol w:w="704"/>
        <w:gridCol w:w="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1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（本列数据的勾稽关系为：第一项加第二项之和，等于第三项加第四项之和）</w:t>
            </w:r>
          </w:p>
        </w:tc>
        <w:tc>
          <w:tcPr>
            <w:tcW w:w="51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自然人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法人或其他组织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商业企业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科研机构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社会公益组织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法律服务机构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1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1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三、本年度办理结果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</w:t>
            </w: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（三）不予公开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属于国家秘密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其他法律行政法规禁止公开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危及“三安全一稳定”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6.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7.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8.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（四）无法提供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（五）不予处理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（六）其他处理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申请人无正当理由逾期不补证、行政机关不再处理其政府信息公开申请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申请人逾期未按收费通知要求缴纳费用、行政机关不再处理其政府信息公开申请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ascii="等线" w:hAnsi="等线" w:eastAsia="等线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1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left="1200" w:hanging="72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 0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等线" w:hAnsi="等线" w:eastAsia="等线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Calibri" w:hAnsi="Calibri" w:eastAsia="宋体" w:cs="Calibri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jc w:val="center"/>
        <w:rPr>
          <w:rFonts w:ascii="Calibri" w:hAnsi="Calibri" w:eastAsia="宋体" w:cs="Calibri"/>
          <w:kern w:val="0"/>
          <w:szCs w:val="21"/>
          <w14:ligatures w14:val="none"/>
        </w:rPr>
      </w:pPr>
      <w:r>
        <w:rPr>
          <w:rFonts w:hint="eastAsia" w:ascii="宋体" w:hAnsi="宋体" w:eastAsia="宋体" w:cs="Calibri"/>
          <w:kern w:val="0"/>
          <w:sz w:val="20"/>
          <w:szCs w:val="20"/>
          <w14:ligatures w14:val="none"/>
        </w:rPr>
        <w:t>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五、存在的主要问题及改进情况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年政府办政务</w:t>
      </w:r>
      <w:r>
        <w:rPr>
          <w:rFonts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工作主要存在以下问题：一是公开的不够全面和规范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；二是政策解读和互动交流水平有待提高。下一步，我单位将从以下方面进行改进：一是加强政务公开平台网站和政务新媒体的建设，更加方便公众及时获得权威信息；二是加大政务公开工作的培训力度，提高政务公开业务水平；三是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加大政策解读和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群众来信办理</w:t>
      </w:r>
      <w:r>
        <w:rPr>
          <w:rFonts w:ascii="Times New Roman" w:hAnsi="Times New Roman" w:eastAsia="仿宋_GB2312" w:cs="Times New Roman"/>
          <w:kern w:val="21"/>
          <w:sz w:val="32"/>
          <w:szCs w:val="32"/>
        </w:rPr>
        <w:t>力度，更好回应群众关切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Calibri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14:ligatures w14:val="none"/>
        </w:rPr>
        <w:t>六、其他需要报告的事项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Calibri"/>
          <w:kern w:val="0"/>
          <w:sz w:val="32"/>
          <w:szCs w:val="32"/>
          <w14:ligatures w14:val="none"/>
        </w:rPr>
        <w:t>本年度未收取信息处理费；暂无需要报告的其他事项。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5657D"/>
    <w:rsid w:val="00012493"/>
    <w:rsid w:val="00026A35"/>
    <w:rsid w:val="0004262E"/>
    <w:rsid w:val="000C2BBA"/>
    <w:rsid w:val="000D1708"/>
    <w:rsid w:val="001055C0"/>
    <w:rsid w:val="0017699B"/>
    <w:rsid w:val="001C1849"/>
    <w:rsid w:val="002710F0"/>
    <w:rsid w:val="002952A0"/>
    <w:rsid w:val="002C0EDA"/>
    <w:rsid w:val="003263CC"/>
    <w:rsid w:val="00386B2F"/>
    <w:rsid w:val="003925FD"/>
    <w:rsid w:val="003A4882"/>
    <w:rsid w:val="003A5027"/>
    <w:rsid w:val="00415319"/>
    <w:rsid w:val="00425239"/>
    <w:rsid w:val="00462A23"/>
    <w:rsid w:val="005257C8"/>
    <w:rsid w:val="005407A8"/>
    <w:rsid w:val="00542477"/>
    <w:rsid w:val="005A0DD9"/>
    <w:rsid w:val="005A258C"/>
    <w:rsid w:val="00682462"/>
    <w:rsid w:val="007414DF"/>
    <w:rsid w:val="007F2C42"/>
    <w:rsid w:val="00840008"/>
    <w:rsid w:val="00850723"/>
    <w:rsid w:val="00854D21"/>
    <w:rsid w:val="0085657D"/>
    <w:rsid w:val="00892A4A"/>
    <w:rsid w:val="009841C2"/>
    <w:rsid w:val="009B2505"/>
    <w:rsid w:val="00A13462"/>
    <w:rsid w:val="00B639AC"/>
    <w:rsid w:val="00B97106"/>
    <w:rsid w:val="00BD3E95"/>
    <w:rsid w:val="00BE3BB4"/>
    <w:rsid w:val="00C43F7F"/>
    <w:rsid w:val="00D363B2"/>
    <w:rsid w:val="00D61C70"/>
    <w:rsid w:val="00D8258E"/>
    <w:rsid w:val="00DC7AA5"/>
    <w:rsid w:val="00DE03B3"/>
    <w:rsid w:val="00F003FA"/>
    <w:rsid w:val="00F02325"/>
    <w:rsid w:val="00F04DB7"/>
    <w:rsid w:val="00F41BBC"/>
    <w:rsid w:val="00F46E39"/>
    <w:rsid w:val="00F6646E"/>
    <w:rsid w:val="00F90D4E"/>
    <w:rsid w:val="5017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2258</Characters>
  <Lines>18</Lines>
  <Paragraphs>5</Paragraphs>
  <TotalTime>559</TotalTime>
  <ScaleCrop>false</ScaleCrop>
  <LinksUpToDate>false</LinksUpToDate>
  <CharactersWithSpaces>2649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2024-01-12T07:01:00Z</dcterms:created>
  <dc:creator>杨叶</dc:creator>
  <cp:lastModifiedBy>唐媛</cp:lastModifiedBy>
  <dcterms:modified xsi:type="dcterms:W3CDTF">2024-01-31T06:05:32Z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9511E27E3E29482C9D4C32966155B283</vt:lpwstr>
  </property>
</Properties>
</file>