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2650D">
      <w:pPr>
        <w:widowControl w:val="0"/>
        <w:rPr>
          <w:rFonts w:ascii="Times New Roman" w:hAnsi="Times New Roman" w:eastAsia="楷体_GB2312" w:cs="Times New Roman"/>
          <w:bCs/>
          <w:sz w:val="32"/>
          <w:szCs w:val="32"/>
          <w:lang w:eastAsia="zh-CN"/>
        </w:rPr>
      </w:pPr>
      <w:bookmarkStart w:id="0" w:name="_GoBack"/>
      <w:bookmarkEnd w:id="0"/>
      <w:r>
        <w:rPr>
          <w:rFonts w:hint="eastAsia" w:ascii="方正黑体_GBK" w:hAnsi="方正黑体_GBK" w:eastAsia="方正黑体_GBK" w:cs="方正黑体_GBK"/>
          <w:bCs/>
          <w:sz w:val="32"/>
          <w:szCs w:val="32"/>
          <w:lang w:eastAsia="zh-CN"/>
        </w:rPr>
        <w:t>附件</w:t>
      </w:r>
      <w:r>
        <w:rPr>
          <w:rFonts w:ascii="Times New Roman" w:hAnsi="Times New Roman" w:eastAsia="楷体_GB2312" w:cs="Times New Roman"/>
          <w:bCs/>
          <w:sz w:val="32"/>
          <w:szCs w:val="32"/>
          <w:lang w:eastAsia="zh-CN"/>
        </w:rPr>
        <w:t>2</w:t>
      </w:r>
    </w:p>
    <w:p w14:paraId="69043745">
      <w:pPr>
        <w:widowControl w:val="0"/>
        <w:jc w:val="center"/>
        <w:rPr>
          <w:rFonts w:hint="eastAsia" w:ascii="方正小标宋_GBK" w:hAnsi="方正小标宋_GBK" w:eastAsia="方正小标宋_GBK" w:cs="方正小标宋_GBK"/>
          <w:bCs/>
          <w:sz w:val="44"/>
          <w:szCs w:val="44"/>
          <w:lang w:eastAsia="zh-CN"/>
        </w:rPr>
      </w:pPr>
      <w:r>
        <w:rPr>
          <w:rFonts w:hint="eastAsia" w:ascii="方正小标宋_GBK" w:hAnsi="方正小标宋_GBK" w:eastAsia="方正小标宋_GBK" w:cs="方正小标宋_GBK"/>
          <w:bCs/>
          <w:sz w:val="44"/>
          <w:szCs w:val="44"/>
          <w:lang w:eastAsia="zh-CN"/>
        </w:rPr>
        <w:t>消防安全重点单位申报表</w:t>
      </w:r>
    </w:p>
    <w:tbl>
      <w:tblPr>
        <w:tblStyle w:val="5"/>
        <w:tblW w:w="10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
        <w:gridCol w:w="1582"/>
        <w:gridCol w:w="987"/>
        <w:gridCol w:w="1211"/>
        <w:gridCol w:w="1185"/>
        <w:gridCol w:w="1560"/>
        <w:gridCol w:w="1305"/>
        <w:gridCol w:w="2127"/>
      </w:tblGrid>
      <w:tr w14:paraId="7F5CF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056" w:type="dxa"/>
            <w:gridSpan w:val="2"/>
            <w:tcBorders>
              <w:top w:val="single" w:color="auto" w:sz="12" w:space="0"/>
              <w:left w:val="single" w:color="auto" w:sz="12" w:space="0"/>
            </w:tcBorders>
            <w:vAlign w:val="center"/>
          </w:tcPr>
          <w:p w14:paraId="61C945AE">
            <w:pPr>
              <w:widowControl w:val="0"/>
              <w:kinsoku/>
              <w:jc w:val="center"/>
              <w:rPr>
                <w:rFonts w:ascii="Times New Roman" w:hAnsi="Times New Roman" w:eastAsia="黑体" w:cs="Times New Roman"/>
                <w:sz w:val="24"/>
              </w:rPr>
            </w:pPr>
            <w:r>
              <w:rPr>
                <w:rFonts w:ascii="Times New Roman" w:hAnsi="Times New Roman" w:eastAsia="黑体" w:cs="Times New Roman"/>
                <w:sz w:val="24"/>
              </w:rPr>
              <w:t>单位名称</w:t>
            </w:r>
          </w:p>
        </w:tc>
        <w:tc>
          <w:tcPr>
            <w:tcW w:w="8375" w:type="dxa"/>
            <w:gridSpan w:val="6"/>
            <w:tcBorders>
              <w:top w:val="single" w:color="auto" w:sz="12" w:space="0"/>
              <w:right w:val="single" w:color="auto" w:sz="12" w:space="0"/>
            </w:tcBorders>
            <w:vAlign w:val="center"/>
          </w:tcPr>
          <w:p w14:paraId="682C1CE2">
            <w:pPr>
              <w:widowControl w:val="0"/>
              <w:kinsoku/>
              <w:rPr>
                <w:rFonts w:ascii="Times New Roman" w:hAnsi="Times New Roman" w:eastAsia="楷体" w:cs="Times New Roman"/>
                <w:sz w:val="24"/>
              </w:rPr>
            </w:pPr>
          </w:p>
        </w:tc>
      </w:tr>
      <w:tr w14:paraId="7AF77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056" w:type="dxa"/>
            <w:gridSpan w:val="2"/>
            <w:tcBorders>
              <w:left w:val="single" w:color="auto" w:sz="12" w:space="0"/>
            </w:tcBorders>
            <w:vAlign w:val="center"/>
          </w:tcPr>
          <w:p w14:paraId="2BAB1ECA">
            <w:pPr>
              <w:widowControl w:val="0"/>
              <w:kinsoku/>
              <w:jc w:val="center"/>
              <w:rPr>
                <w:rFonts w:ascii="Times New Roman" w:hAnsi="Times New Roman" w:eastAsia="黑体" w:cs="Times New Roman"/>
                <w:sz w:val="24"/>
              </w:rPr>
            </w:pPr>
            <w:r>
              <w:rPr>
                <w:rFonts w:ascii="Times New Roman" w:hAnsi="Times New Roman" w:eastAsia="黑体" w:cs="Times New Roman"/>
                <w:sz w:val="24"/>
              </w:rPr>
              <w:t>单位地址</w:t>
            </w:r>
          </w:p>
        </w:tc>
        <w:tc>
          <w:tcPr>
            <w:tcW w:w="4943" w:type="dxa"/>
            <w:gridSpan w:val="4"/>
            <w:vAlign w:val="center"/>
          </w:tcPr>
          <w:p w14:paraId="5EC8F556">
            <w:pPr>
              <w:widowControl w:val="0"/>
              <w:kinsoku/>
              <w:rPr>
                <w:rFonts w:ascii="Times New Roman" w:hAnsi="Times New Roman" w:eastAsia="楷体" w:cs="Times New Roman"/>
                <w:sz w:val="24"/>
                <w:lang w:eastAsia="zh-CN"/>
              </w:rPr>
            </w:pPr>
          </w:p>
        </w:tc>
        <w:tc>
          <w:tcPr>
            <w:tcW w:w="1305" w:type="dxa"/>
            <w:vAlign w:val="center"/>
          </w:tcPr>
          <w:p w14:paraId="5E78C8CB">
            <w:pPr>
              <w:widowControl w:val="0"/>
              <w:kinsoku/>
              <w:jc w:val="center"/>
              <w:rPr>
                <w:rFonts w:ascii="Times New Roman" w:hAnsi="Times New Roman" w:eastAsia="黑体" w:cs="Times New Roman"/>
                <w:sz w:val="24"/>
              </w:rPr>
            </w:pPr>
            <w:r>
              <w:rPr>
                <w:rFonts w:ascii="Times New Roman" w:hAnsi="Times New Roman" w:eastAsia="黑体" w:cs="Times New Roman"/>
                <w:sz w:val="24"/>
              </w:rPr>
              <w:t>上级归口管理部门</w:t>
            </w:r>
          </w:p>
        </w:tc>
        <w:tc>
          <w:tcPr>
            <w:tcW w:w="2127" w:type="dxa"/>
            <w:tcBorders>
              <w:right w:val="single" w:color="auto" w:sz="12" w:space="0"/>
            </w:tcBorders>
            <w:vAlign w:val="center"/>
          </w:tcPr>
          <w:p w14:paraId="5ABC0ACE">
            <w:pPr>
              <w:widowControl w:val="0"/>
              <w:kinsoku/>
              <w:rPr>
                <w:rFonts w:ascii="Times New Roman" w:hAnsi="Times New Roman" w:eastAsia="楷体" w:cs="Times New Roman"/>
                <w:sz w:val="24"/>
              </w:rPr>
            </w:pPr>
          </w:p>
        </w:tc>
      </w:tr>
      <w:tr w14:paraId="399F3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056" w:type="dxa"/>
            <w:gridSpan w:val="2"/>
            <w:tcBorders>
              <w:left w:val="single" w:color="auto" w:sz="12" w:space="0"/>
            </w:tcBorders>
            <w:shd w:val="clear" w:color="auto" w:fill="auto"/>
            <w:vAlign w:val="center"/>
          </w:tcPr>
          <w:p w14:paraId="6441E1FC">
            <w:pPr>
              <w:pStyle w:val="7"/>
              <w:widowControl w:val="0"/>
              <w:kinsoku/>
              <w:spacing w:line="240" w:lineRule="exact"/>
              <w:jc w:val="center"/>
              <w:rPr>
                <w:rFonts w:ascii="Times New Roman" w:hAnsi="Times New Roman" w:eastAsia="黑体" w:cs="Times New Roman"/>
                <w:sz w:val="24"/>
                <w:lang w:eastAsia="zh-CN"/>
              </w:rPr>
            </w:pPr>
            <w:r>
              <w:rPr>
                <w:rFonts w:ascii="Times New Roman" w:hAnsi="Times New Roman" w:eastAsia="黑体" w:cs="Times New Roman"/>
                <w:sz w:val="24"/>
                <w:lang w:eastAsia="zh-CN"/>
              </w:rPr>
              <w:t>统一社会</w:t>
            </w:r>
          </w:p>
          <w:p w14:paraId="01F92703">
            <w:pPr>
              <w:pStyle w:val="7"/>
              <w:widowControl w:val="0"/>
              <w:kinsoku/>
              <w:spacing w:line="240" w:lineRule="exact"/>
              <w:jc w:val="center"/>
              <w:rPr>
                <w:rFonts w:ascii="Times New Roman" w:hAnsi="Times New Roman" w:eastAsia="黑体" w:cs="Times New Roman"/>
                <w:sz w:val="24"/>
                <w:lang w:eastAsia="zh-CN"/>
              </w:rPr>
            </w:pPr>
            <w:r>
              <w:rPr>
                <w:rFonts w:ascii="Times New Roman" w:hAnsi="Times New Roman" w:eastAsia="黑体" w:cs="Times New Roman"/>
                <w:sz w:val="24"/>
                <w:lang w:eastAsia="zh-CN"/>
              </w:rPr>
              <w:t>信用代码</w:t>
            </w:r>
          </w:p>
        </w:tc>
        <w:tc>
          <w:tcPr>
            <w:tcW w:w="4943" w:type="dxa"/>
            <w:gridSpan w:val="4"/>
            <w:shd w:val="clear" w:color="auto" w:fill="auto"/>
            <w:vAlign w:val="center"/>
          </w:tcPr>
          <w:p w14:paraId="4E5A3EAF">
            <w:pPr>
              <w:pStyle w:val="7"/>
              <w:widowControl w:val="0"/>
              <w:kinsoku/>
              <w:spacing w:line="240" w:lineRule="exact"/>
              <w:jc w:val="center"/>
              <w:rPr>
                <w:rFonts w:ascii="Times New Roman" w:hAnsi="Times New Roman" w:eastAsia="楷体" w:cs="Times New Roman"/>
                <w:sz w:val="24"/>
                <w:szCs w:val="21"/>
              </w:rPr>
            </w:pPr>
          </w:p>
        </w:tc>
        <w:tc>
          <w:tcPr>
            <w:tcW w:w="1305" w:type="dxa"/>
            <w:shd w:val="clear" w:color="auto" w:fill="auto"/>
            <w:vAlign w:val="center"/>
          </w:tcPr>
          <w:p w14:paraId="772399F0">
            <w:pPr>
              <w:pStyle w:val="7"/>
              <w:widowControl w:val="0"/>
              <w:kinsoku/>
              <w:spacing w:line="240" w:lineRule="exact"/>
              <w:jc w:val="center"/>
              <w:rPr>
                <w:rFonts w:ascii="Times New Roman" w:hAnsi="Times New Roman" w:eastAsia="黑体" w:cs="Times New Roman"/>
                <w:sz w:val="24"/>
                <w:szCs w:val="21"/>
                <w:lang w:eastAsia="zh-CN"/>
              </w:rPr>
            </w:pPr>
            <w:r>
              <w:rPr>
                <w:rFonts w:ascii="Times New Roman" w:hAnsi="Times New Roman" w:eastAsia="黑体" w:cs="Times New Roman"/>
                <w:sz w:val="24"/>
                <w:szCs w:val="21"/>
                <w:lang w:eastAsia="zh-CN"/>
              </w:rPr>
              <w:t>有无自动</w:t>
            </w:r>
          </w:p>
          <w:p w14:paraId="2BD57F47">
            <w:pPr>
              <w:pStyle w:val="7"/>
              <w:widowControl w:val="0"/>
              <w:kinsoku/>
              <w:spacing w:line="240" w:lineRule="exact"/>
              <w:jc w:val="center"/>
              <w:rPr>
                <w:rFonts w:ascii="Times New Roman" w:hAnsi="Times New Roman" w:eastAsia="黑体" w:cs="Times New Roman"/>
                <w:sz w:val="24"/>
                <w:szCs w:val="21"/>
              </w:rPr>
            </w:pPr>
            <w:r>
              <w:rPr>
                <w:rFonts w:ascii="Times New Roman" w:hAnsi="Times New Roman" w:eastAsia="黑体" w:cs="Times New Roman"/>
                <w:sz w:val="24"/>
                <w:szCs w:val="21"/>
                <w:lang w:eastAsia="zh-CN"/>
              </w:rPr>
              <w:t>消防设施</w:t>
            </w:r>
          </w:p>
        </w:tc>
        <w:tc>
          <w:tcPr>
            <w:tcW w:w="2127" w:type="dxa"/>
            <w:tcBorders>
              <w:right w:val="single" w:color="auto" w:sz="12" w:space="0"/>
            </w:tcBorders>
            <w:shd w:val="clear" w:color="auto" w:fill="auto"/>
            <w:vAlign w:val="center"/>
          </w:tcPr>
          <w:p w14:paraId="3880A0A2">
            <w:pPr>
              <w:pStyle w:val="7"/>
              <w:widowControl w:val="0"/>
              <w:kinsoku/>
              <w:spacing w:line="240" w:lineRule="exact"/>
              <w:jc w:val="center"/>
              <w:rPr>
                <w:rFonts w:ascii="Times New Roman" w:hAnsi="Times New Roman" w:eastAsia="楷体" w:cs="Times New Roman"/>
                <w:sz w:val="24"/>
                <w:szCs w:val="21"/>
              </w:rPr>
            </w:pPr>
            <w:r>
              <w:rPr>
                <w:rFonts w:ascii="Times New Roman" w:hAnsi="Times New Roman" w:eastAsia="楷体" w:cs="Times New Roman"/>
                <w:sz w:val="24"/>
                <w:szCs w:val="21"/>
                <w:lang w:eastAsia="zh-CN"/>
              </w:rPr>
              <w:t>□有  □无</w:t>
            </w:r>
          </w:p>
        </w:tc>
      </w:tr>
      <w:tr w14:paraId="79F09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056" w:type="dxa"/>
            <w:gridSpan w:val="2"/>
            <w:tcBorders>
              <w:left w:val="single" w:color="auto" w:sz="12" w:space="0"/>
            </w:tcBorders>
            <w:shd w:val="clear" w:color="auto" w:fill="auto"/>
            <w:vAlign w:val="center"/>
          </w:tcPr>
          <w:p w14:paraId="2C484612">
            <w:pPr>
              <w:pStyle w:val="7"/>
              <w:widowControl w:val="0"/>
              <w:kinsoku/>
              <w:spacing w:line="240" w:lineRule="exact"/>
              <w:jc w:val="center"/>
              <w:rPr>
                <w:rFonts w:ascii="Times New Roman" w:hAnsi="Times New Roman" w:eastAsia="黑体" w:cs="Times New Roman"/>
                <w:sz w:val="24"/>
                <w:lang w:eastAsia="zh-CN"/>
              </w:rPr>
            </w:pPr>
            <w:r>
              <w:rPr>
                <w:rFonts w:ascii="Times New Roman" w:hAnsi="Times New Roman" w:eastAsia="黑体" w:cs="Times New Roman"/>
                <w:sz w:val="24"/>
                <w:lang w:eastAsia="zh-CN"/>
              </w:rPr>
              <w:t>建筑面积</w:t>
            </w:r>
          </w:p>
          <w:p w14:paraId="6BB4EEC3">
            <w:pPr>
              <w:pStyle w:val="7"/>
              <w:widowControl w:val="0"/>
              <w:kinsoku/>
              <w:spacing w:line="240" w:lineRule="exact"/>
              <w:jc w:val="center"/>
              <w:rPr>
                <w:rFonts w:ascii="Times New Roman" w:hAnsi="Times New Roman" w:eastAsia="黑体" w:cs="Times New Roman"/>
                <w:sz w:val="24"/>
                <w:szCs w:val="21"/>
              </w:rPr>
            </w:pPr>
            <w:r>
              <w:rPr>
                <w:rFonts w:ascii="Times New Roman" w:hAnsi="Times New Roman" w:eastAsia="黑体" w:cs="Times New Roman"/>
                <w:sz w:val="24"/>
                <w:lang w:eastAsia="zh-CN"/>
              </w:rPr>
              <w:t>（㎡）</w:t>
            </w:r>
          </w:p>
        </w:tc>
        <w:tc>
          <w:tcPr>
            <w:tcW w:w="2198" w:type="dxa"/>
            <w:gridSpan w:val="2"/>
            <w:shd w:val="clear" w:color="auto" w:fill="auto"/>
            <w:vAlign w:val="center"/>
          </w:tcPr>
          <w:p w14:paraId="1738A0F5">
            <w:pPr>
              <w:pStyle w:val="7"/>
              <w:widowControl w:val="0"/>
              <w:kinsoku/>
              <w:spacing w:line="240" w:lineRule="exact"/>
              <w:jc w:val="center"/>
              <w:rPr>
                <w:rFonts w:ascii="Times New Roman" w:hAnsi="Times New Roman" w:eastAsia="楷体" w:cs="Times New Roman"/>
                <w:sz w:val="24"/>
                <w:szCs w:val="21"/>
              </w:rPr>
            </w:pPr>
          </w:p>
        </w:tc>
        <w:tc>
          <w:tcPr>
            <w:tcW w:w="1185" w:type="dxa"/>
            <w:vAlign w:val="center"/>
          </w:tcPr>
          <w:p w14:paraId="7283A30E">
            <w:pPr>
              <w:pStyle w:val="7"/>
              <w:widowControl w:val="0"/>
              <w:kinsoku/>
              <w:spacing w:line="240" w:lineRule="exact"/>
              <w:jc w:val="center"/>
              <w:rPr>
                <w:rFonts w:ascii="Times New Roman" w:hAnsi="Times New Roman" w:eastAsia="黑体" w:cs="Times New Roman"/>
                <w:sz w:val="24"/>
                <w:lang w:eastAsia="zh-CN"/>
              </w:rPr>
            </w:pPr>
            <w:r>
              <w:rPr>
                <w:rFonts w:ascii="Times New Roman" w:hAnsi="Times New Roman" w:eastAsia="黑体" w:cs="Times New Roman"/>
                <w:sz w:val="24"/>
                <w:lang w:eastAsia="zh-CN"/>
              </w:rPr>
              <w:t>占地面积（㎡）</w:t>
            </w:r>
          </w:p>
        </w:tc>
        <w:tc>
          <w:tcPr>
            <w:tcW w:w="1560" w:type="dxa"/>
            <w:vAlign w:val="center"/>
          </w:tcPr>
          <w:p w14:paraId="3F1337F0">
            <w:pPr>
              <w:widowControl w:val="0"/>
              <w:kinsoku/>
              <w:jc w:val="center"/>
              <w:rPr>
                <w:rFonts w:ascii="Times New Roman" w:hAnsi="Times New Roman" w:eastAsia="楷体" w:cs="Times New Roman"/>
                <w:sz w:val="24"/>
              </w:rPr>
            </w:pPr>
          </w:p>
        </w:tc>
        <w:tc>
          <w:tcPr>
            <w:tcW w:w="1305" w:type="dxa"/>
            <w:vAlign w:val="center"/>
          </w:tcPr>
          <w:p w14:paraId="5F55C2BC">
            <w:pPr>
              <w:widowControl w:val="0"/>
              <w:kinsoku/>
              <w:jc w:val="center"/>
              <w:rPr>
                <w:rFonts w:ascii="Times New Roman" w:hAnsi="Times New Roman" w:eastAsia="黑体" w:cs="Times New Roman"/>
                <w:sz w:val="24"/>
                <w:lang w:eastAsia="zh-CN"/>
              </w:rPr>
            </w:pPr>
            <w:r>
              <w:rPr>
                <w:rFonts w:ascii="Times New Roman" w:hAnsi="Times New Roman" w:eastAsia="黑体" w:cs="Times New Roman"/>
                <w:sz w:val="24"/>
                <w:lang w:eastAsia="zh-CN"/>
              </w:rPr>
              <w:t>建筑高度</w:t>
            </w:r>
          </w:p>
        </w:tc>
        <w:tc>
          <w:tcPr>
            <w:tcW w:w="2127" w:type="dxa"/>
            <w:tcBorders>
              <w:right w:val="single" w:color="auto" w:sz="12" w:space="0"/>
            </w:tcBorders>
            <w:vAlign w:val="center"/>
          </w:tcPr>
          <w:p w14:paraId="781C8A40">
            <w:pPr>
              <w:widowControl w:val="0"/>
              <w:kinsoku/>
              <w:rPr>
                <w:rFonts w:ascii="Times New Roman" w:hAnsi="Times New Roman" w:eastAsia="楷体" w:cs="Times New Roman"/>
                <w:sz w:val="24"/>
              </w:rPr>
            </w:pPr>
          </w:p>
        </w:tc>
      </w:tr>
      <w:tr w14:paraId="593DF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056" w:type="dxa"/>
            <w:gridSpan w:val="2"/>
            <w:tcBorders>
              <w:left w:val="single" w:color="auto" w:sz="12" w:space="0"/>
            </w:tcBorders>
            <w:vAlign w:val="center"/>
          </w:tcPr>
          <w:p w14:paraId="70F13F9A">
            <w:pPr>
              <w:widowControl w:val="0"/>
              <w:kinsoku/>
              <w:jc w:val="center"/>
              <w:rPr>
                <w:rFonts w:ascii="Times New Roman" w:hAnsi="Times New Roman" w:eastAsia="黑体" w:cs="Times New Roman"/>
                <w:sz w:val="24"/>
                <w:lang w:eastAsia="zh-CN"/>
              </w:rPr>
            </w:pPr>
            <w:r>
              <w:rPr>
                <w:rFonts w:ascii="Times New Roman" w:hAnsi="Times New Roman" w:eastAsia="黑体" w:cs="Times New Roman"/>
                <w:sz w:val="24"/>
                <w:lang w:eastAsia="zh-CN"/>
              </w:rPr>
              <w:t>消防安全责任人</w:t>
            </w:r>
          </w:p>
        </w:tc>
        <w:tc>
          <w:tcPr>
            <w:tcW w:w="2198" w:type="dxa"/>
            <w:gridSpan w:val="2"/>
            <w:vAlign w:val="center"/>
          </w:tcPr>
          <w:p w14:paraId="7221DCD8">
            <w:pPr>
              <w:widowControl w:val="0"/>
              <w:kinsoku/>
              <w:jc w:val="center"/>
              <w:rPr>
                <w:rFonts w:ascii="Times New Roman" w:hAnsi="Times New Roman" w:eastAsia="楷体" w:cs="Times New Roman"/>
                <w:sz w:val="24"/>
                <w:lang w:eastAsia="zh-CN"/>
              </w:rPr>
            </w:pPr>
          </w:p>
        </w:tc>
        <w:tc>
          <w:tcPr>
            <w:tcW w:w="1185" w:type="dxa"/>
            <w:vAlign w:val="center"/>
          </w:tcPr>
          <w:p w14:paraId="18224BDF">
            <w:pPr>
              <w:widowControl w:val="0"/>
              <w:kinsoku/>
              <w:jc w:val="center"/>
              <w:rPr>
                <w:rFonts w:ascii="Times New Roman" w:hAnsi="Times New Roman" w:eastAsia="黑体" w:cs="Times New Roman"/>
                <w:sz w:val="24"/>
              </w:rPr>
            </w:pPr>
            <w:r>
              <w:rPr>
                <w:rFonts w:ascii="Times New Roman" w:hAnsi="Times New Roman" w:eastAsia="黑体" w:cs="Times New Roman"/>
                <w:sz w:val="24"/>
              </w:rPr>
              <w:t>职</w:t>
            </w:r>
            <w:r>
              <w:rPr>
                <w:rFonts w:ascii="Times New Roman" w:hAnsi="Times New Roman" w:eastAsia="黑体" w:cs="Times New Roman"/>
                <w:sz w:val="24"/>
                <w:lang w:eastAsia="zh-CN"/>
              </w:rPr>
              <w:t xml:space="preserve"> </w:t>
            </w:r>
            <w:r>
              <w:rPr>
                <w:rFonts w:ascii="Times New Roman" w:hAnsi="Times New Roman" w:eastAsia="黑体" w:cs="Times New Roman"/>
                <w:sz w:val="24"/>
              </w:rPr>
              <w:t>务</w:t>
            </w:r>
          </w:p>
        </w:tc>
        <w:tc>
          <w:tcPr>
            <w:tcW w:w="1560" w:type="dxa"/>
            <w:vAlign w:val="center"/>
          </w:tcPr>
          <w:p w14:paraId="76C57829">
            <w:pPr>
              <w:widowControl w:val="0"/>
              <w:kinsoku/>
              <w:jc w:val="center"/>
              <w:rPr>
                <w:rFonts w:ascii="Times New Roman" w:hAnsi="Times New Roman" w:eastAsia="楷体" w:cs="Times New Roman"/>
                <w:sz w:val="24"/>
              </w:rPr>
            </w:pPr>
          </w:p>
        </w:tc>
        <w:tc>
          <w:tcPr>
            <w:tcW w:w="1305" w:type="dxa"/>
            <w:vAlign w:val="center"/>
          </w:tcPr>
          <w:p w14:paraId="109FA80C">
            <w:pPr>
              <w:widowControl w:val="0"/>
              <w:kinsoku/>
              <w:jc w:val="center"/>
              <w:rPr>
                <w:rFonts w:ascii="Times New Roman" w:hAnsi="Times New Roman" w:eastAsia="黑体" w:cs="Times New Roman"/>
                <w:sz w:val="24"/>
              </w:rPr>
            </w:pPr>
            <w:r>
              <w:rPr>
                <w:rFonts w:ascii="Times New Roman" w:hAnsi="Times New Roman" w:eastAsia="黑体" w:cs="Times New Roman"/>
                <w:sz w:val="24"/>
              </w:rPr>
              <w:t>联系电话</w:t>
            </w:r>
          </w:p>
        </w:tc>
        <w:tc>
          <w:tcPr>
            <w:tcW w:w="2127" w:type="dxa"/>
            <w:tcBorders>
              <w:right w:val="single" w:color="auto" w:sz="12" w:space="0"/>
            </w:tcBorders>
            <w:vAlign w:val="center"/>
          </w:tcPr>
          <w:p w14:paraId="57FE7E3E">
            <w:pPr>
              <w:widowControl w:val="0"/>
              <w:kinsoku/>
              <w:rPr>
                <w:rFonts w:ascii="Times New Roman" w:hAnsi="Times New Roman" w:eastAsia="楷体" w:cs="Times New Roman"/>
                <w:sz w:val="24"/>
              </w:rPr>
            </w:pPr>
          </w:p>
        </w:tc>
      </w:tr>
      <w:tr w14:paraId="7CADD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056" w:type="dxa"/>
            <w:gridSpan w:val="2"/>
            <w:tcBorders>
              <w:left w:val="single" w:color="auto" w:sz="12" w:space="0"/>
            </w:tcBorders>
            <w:vAlign w:val="center"/>
          </w:tcPr>
          <w:p w14:paraId="3A6B3FE5">
            <w:pPr>
              <w:widowControl w:val="0"/>
              <w:kinsoku/>
              <w:jc w:val="center"/>
              <w:rPr>
                <w:rFonts w:ascii="Times New Roman" w:hAnsi="Times New Roman" w:eastAsia="黑体" w:cs="Times New Roman"/>
                <w:sz w:val="24"/>
              </w:rPr>
            </w:pPr>
            <w:r>
              <w:rPr>
                <w:rFonts w:ascii="Times New Roman" w:hAnsi="Times New Roman" w:eastAsia="黑体" w:cs="Times New Roman"/>
                <w:sz w:val="24"/>
              </w:rPr>
              <w:t>消防安全管理人</w:t>
            </w:r>
          </w:p>
        </w:tc>
        <w:tc>
          <w:tcPr>
            <w:tcW w:w="2198" w:type="dxa"/>
            <w:gridSpan w:val="2"/>
            <w:vAlign w:val="center"/>
          </w:tcPr>
          <w:p w14:paraId="3F7EF8D3">
            <w:pPr>
              <w:widowControl w:val="0"/>
              <w:kinsoku/>
              <w:jc w:val="center"/>
              <w:rPr>
                <w:rFonts w:ascii="Times New Roman" w:hAnsi="Times New Roman" w:eastAsia="楷体" w:cs="Times New Roman"/>
                <w:sz w:val="24"/>
              </w:rPr>
            </w:pPr>
          </w:p>
        </w:tc>
        <w:tc>
          <w:tcPr>
            <w:tcW w:w="1185" w:type="dxa"/>
            <w:vAlign w:val="center"/>
          </w:tcPr>
          <w:p w14:paraId="051C9F2E">
            <w:pPr>
              <w:widowControl w:val="0"/>
              <w:kinsoku/>
              <w:jc w:val="center"/>
              <w:rPr>
                <w:rFonts w:ascii="Times New Roman" w:hAnsi="Times New Roman" w:eastAsia="黑体" w:cs="Times New Roman"/>
                <w:sz w:val="24"/>
              </w:rPr>
            </w:pPr>
            <w:r>
              <w:rPr>
                <w:rFonts w:ascii="Times New Roman" w:hAnsi="Times New Roman" w:eastAsia="黑体" w:cs="Times New Roman"/>
                <w:sz w:val="24"/>
              </w:rPr>
              <w:t>职</w:t>
            </w:r>
            <w:r>
              <w:rPr>
                <w:rFonts w:ascii="Times New Roman" w:hAnsi="Times New Roman" w:eastAsia="黑体" w:cs="Times New Roman"/>
                <w:sz w:val="24"/>
                <w:lang w:eastAsia="zh-CN"/>
              </w:rPr>
              <w:t xml:space="preserve"> </w:t>
            </w:r>
            <w:r>
              <w:rPr>
                <w:rFonts w:ascii="Times New Roman" w:hAnsi="Times New Roman" w:eastAsia="黑体" w:cs="Times New Roman"/>
                <w:sz w:val="24"/>
              </w:rPr>
              <w:t>务</w:t>
            </w:r>
          </w:p>
        </w:tc>
        <w:tc>
          <w:tcPr>
            <w:tcW w:w="1560" w:type="dxa"/>
            <w:vAlign w:val="center"/>
          </w:tcPr>
          <w:p w14:paraId="36136A19">
            <w:pPr>
              <w:widowControl w:val="0"/>
              <w:kinsoku/>
              <w:jc w:val="center"/>
              <w:rPr>
                <w:rFonts w:ascii="Times New Roman" w:hAnsi="Times New Roman" w:eastAsia="楷体" w:cs="Times New Roman"/>
                <w:sz w:val="24"/>
              </w:rPr>
            </w:pPr>
          </w:p>
        </w:tc>
        <w:tc>
          <w:tcPr>
            <w:tcW w:w="1305" w:type="dxa"/>
            <w:vAlign w:val="center"/>
          </w:tcPr>
          <w:p w14:paraId="21DA1860">
            <w:pPr>
              <w:widowControl w:val="0"/>
              <w:kinsoku/>
              <w:jc w:val="center"/>
              <w:rPr>
                <w:rFonts w:ascii="Times New Roman" w:hAnsi="Times New Roman" w:eastAsia="黑体" w:cs="Times New Roman"/>
                <w:sz w:val="24"/>
              </w:rPr>
            </w:pPr>
            <w:r>
              <w:rPr>
                <w:rFonts w:ascii="Times New Roman" w:hAnsi="Times New Roman" w:eastAsia="黑体" w:cs="Times New Roman"/>
                <w:sz w:val="24"/>
              </w:rPr>
              <w:t>联系电话</w:t>
            </w:r>
          </w:p>
        </w:tc>
        <w:tc>
          <w:tcPr>
            <w:tcW w:w="2127" w:type="dxa"/>
            <w:tcBorders>
              <w:right w:val="single" w:color="auto" w:sz="12" w:space="0"/>
            </w:tcBorders>
            <w:vAlign w:val="center"/>
          </w:tcPr>
          <w:p w14:paraId="46E5E5CE">
            <w:pPr>
              <w:widowControl w:val="0"/>
              <w:kinsoku/>
              <w:rPr>
                <w:rFonts w:ascii="Times New Roman" w:hAnsi="Times New Roman" w:eastAsia="楷体" w:cs="Times New Roman"/>
                <w:sz w:val="24"/>
              </w:rPr>
            </w:pPr>
          </w:p>
        </w:tc>
      </w:tr>
      <w:tr w14:paraId="569F6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056" w:type="dxa"/>
            <w:gridSpan w:val="2"/>
            <w:tcBorders>
              <w:left w:val="single" w:color="auto" w:sz="12" w:space="0"/>
            </w:tcBorders>
            <w:vAlign w:val="center"/>
          </w:tcPr>
          <w:p w14:paraId="34D97B51">
            <w:pPr>
              <w:widowControl w:val="0"/>
              <w:kinsoku/>
              <w:jc w:val="center"/>
              <w:rPr>
                <w:rFonts w:ascii="Times New Roman" w:hAnsi="Times New Roman" w:eastAsia="黑体" w:cs="Times New Roman"/>
                <w:sz w:val="24"/>
                <w:lang w:eastAsia="zh-CN"/>
              </w:rPr>
            </w:pPr>
            <w:r>
              <w:rPr>
                <w:rFonts w:ascii="Times New Roman" w:hAnsi="Times New Roman" w:eastAsia="黑体" w:cs="Times New Roman"/>
                <w:sz w:val="24"/>
                <w:lang w:eastAsia="zh-CN"/>
              </w:rPr>
              <w:t>联系人</w:t>
            </w:r>
          </w:p>
        </w:tc>
        <w:tc>
          <w:tcPr>
            <w:tcW w:w="2198" w:type="dxa"/>
            <w:gridSpan w:val="2"/>
            <w:vAlign w:val="center"/>
          </w:tcPr>
          <w:p w14:paraId="165CA2FA">
            <w:pPr>
              <w:widowControl w:val="0"/>
              <w:kinsoku/>
              <w:jc w:val="center"/>
              <w:rPr>
                <w:rFonts w:ascii="Times New Roman" w:hAnsi="Times New Roman" w:eastAsia="楷体" w:cs="Times New Roman"/>
                <w:sz w:val="24"/>
                <w:lang w:eastAsia="zh-CN"/>
              </w:rPr>
            </w:pPr>
          </w:p>
        </w:tc>
        <w:tc>
          <w:tcPr>
            <w:tcW w:w="1185" w:type="dxa"/>
            <w:vAlign w:val="center"/>
          </w:tcPr>
          <w:p w14:paraId="7AE50E68">
            <w:pPr>
              <w:widowControl w:val="0"/>
              <w:kinsoku/>
              <w:jc w:val="center"/>
              <w:rPr>
                <w:rFonts w:ascii="Times New Roman" w:hAnsi="Times New Roman" w:eastAsia="黑体" w:cs="Times New Roman"/>
                <w:sz w:val="24"/>
              </w:rPr>
            </w:pPr>
            <w:r>
              <w:rPr>
                <w:rFonts w:ascii="Times New Roman" w:hAnsi="Times New Roman" w:eastAsia="黑体" w:cs="Times New Roman"/>
                <w:sz w:val="24"/>
                <w:lang w:eastAsia="zh-CN"/>
              </w:rPr>
              <w:t>职 务</w:t>
            </w:r>
          </w:p>
        </w:tc>
        <w:tc>
          <w:tcPr>
            <w:tcW w:w="1560" w:type="dxa"/>
            <w:vAlign w:val="center"/>
          </w:tcPr>
          <w:p w14:paraId="4066B7D3">
            <w:pPr>
              <w:widowControl w:val="0"/>
              <w:kinsoku/>
              <w:jc w:val="center"/>
              <w:rPr>
                <w:rFonts w:ascii="Times New Roman" w:hAnsi="Times New Roman" w:eastAsia="楷体" w:cs="Times New Roman"/>
                <w:sz w:val="24"/>
              </w:rPr>
            </w:pPr>
          </w:p>
        </w:tc>
        <w:tc>
          <w:tcPr>
            <w:tcW w:w="1305" w:type="dxa"/>
            <w:vAlign w:val="center"/>
          </w:tcPr>
          <w:p w14:paraId="3FA6DFDC">
            <w:pPr>
              <w:widowControl w:val="0"/>
              <w:kinsoku/>
              <w:jc w:val="center"/>
              <w:rPr>
                <w:rFonts w:ascii="Times New Roman" w:hAnsi="Times New Roman" w:eastAsia="黑体" w:cs="Times New Roman"/>
                <w:sz w:val="24"/>
              </w:rPr>
            </w:pPr>
            <w:r>
              <w:rPr>
                <w:rFonts w:ascii="Times New Roman" w:hAnsi="Times New Roman" w:eastAsia="黑体" w:cs="Times New Roman"/>
                <w:sz w:val="24"/>
              </w:rPr>
              <w:t>联系电话</w:t>
            </w:r>
          </w:p>
        </w:tc>
        <w:tc>
          <w:tcPr>
            <w:tcW w:w="2127" w:type="dxa"/>
            <w:tcBorders>
              <w:right w:val="single" w:color="auto" w:sz="12" w:space="0"/>
            </w:tcBorders>
            <w:vAlign w:val="center"/>
          </w:tcPr>
          <w:p w14:paraId="7FE6DC53">
            <w:pPr>
              <w:widowControl w:val="0"/>
              <w:kinsoku/>
              <w:rPr>
                <w:rFonts w:ascii="Times New Roman" w:hAnsi="Times New Roman" w:eastAsia="楷体" w:cs="Times New Roman"/>
                <w:sz w:val="24"/>
              </w:rPr>
            </w:pPr>
          </w:p>
        </w:tc>
      </w:tr>
      <w:tr w14:paraId="79BF3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0431" w:type="dxa"/>
            <w:gridSpan w:val="8"/>
            <w:tcBorders>
              <w:left w:val="single" w:color="auto" w:sz="12" w:space="0"/>
              <w:right w:val="single" w:color="auto" w:sz="12" w:space="0"/>
            </w:tcBorders>
            <w:shd w:val="clear" w:color="auto" w:fill="auto"/>
            <w:vAlign w:val="center"/>
          </w:tcPr>
          <w:p w14:paraId="3B6A5803">
            <w:pPr>
              <w:widowControl w:val="0"/>
              <w:kinsoku/>
              <w:jc w:val="center"/>
              <w:rPr>
                <w:rFonts w:ascii="Times New Roman" w:hAnsi="Times New Roman" w:eastAsia="楷体" w:cs="Times New Roman"/>
                <w:sz w:val="24"/>
                <w:lang w:eastAsia="zh-CN"/>
              </w:rPr>
            </w:pPr>
            <w:r>
              <w:rPr>
                <w:rFonts w:ascii="Times New Roman" w:hAnsi="Times New Roman" w:eastAsia="楷体" w:cs="Times New Roman"/>
                <w:b/>
                <w:bCs/>
                <w:sz w:val="32"/>
                <w:szCs w:val="24"/>
                <w:lang w:eastAsia="zh-CN"/>
              </w:rPr>
              <w:t>单位使用性质详情（勾选）</w:t>
            </w:r>
          </w:p>
        </w:tc>
      </w:tr>
      <w:tr w14:paraId="395EC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474" w:type="dxa"/>
            <w:vMerge w:val="restart"/>
            <w:tcBorders>
              <w:left w:val="single" w:color="auto" w:sz="12" w:space="0"/>
            </w:tcBorders>
            <w:shd w:val="clear" w:color="auto" w:fill="auto"/>
            <w:vAlign w:val="center"/>
          </w:tcPr>
          <w:p w14:paraId="38FDD90F">
            <w:pPr>
              <w:widowControl w:val="0"/>
              <w:kinsoku/>
              <w:spacing w:line="240" w:lineRule="exact"/>
              <w:ind w:left="425" w:hanging="425"/>
              <w:jc w:val="center"/>
              <w:rPr>
                <w:rFonts w:ascii="Times New Roman" w:hAnsi="Times New Roman" w:cs="Times New Roman"/>
                <w:b/>
                <w:bCs/>
              </w:rPr>
            </w:pPr>
            <w:r>
              <w:rPr>
                <w:rFonts w:ascii="Times New Roman" w:hAnsi="Times New Roman" w:cs="Times New Roman"/>
                <w:b/>
                <w:bCs/>
              </w:rPr>
              <w:t>1</w:t>
            </w:r>
          </w:p>
        </w:tc>
        <w:tc>
          <w:tcPr>
            <w:tcW w:w="9957" w:type="dxa"/>
            <w:gridSpan w:val="7"/>
            <w:tcBorders>
              <w:right w:val="single" w:color="auto" w:sz="12" w:space="0"/>
            </w:tcBorders>
            <w:shd w:val="clear" w:color="auto" w:fill="auto"/>
            <w:vAlign w:val="center"/>
          </w:tcPr>
          <w:p w14:paraId="7D7CD75B">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b/>
                <w:bCs/>
                <w:lang w:eastAsia="zh-CN"/>
              </w:rPr>
              <w:t>商场（市场）、宾馆（饭店）、体育场（馆）、会堂、公共娱乐场所等公众聚集场所：</w:t>
            </w:r>
          </w:p>
        </w:tc>
      </w:tr>
      <w:tr w14:paraId="2720F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4" w:hRule="atLeast"/>
          <w:jc w:val="center"/>
        </w:trPr>
        <w:tc>
          <w:tcPr>
            <w:tcW w:w="474" w:type="dxa"/>
            <w:vMerge w:val="continue"/>
            <w:tcBorders>
              <w:left w:val="single" w:color="auto" w:sz="12" w:space="0"/>
            </w:tcBorders>
            <w:shd w:val="clear" w:color="auto" w:fill="auto"/>
            <w:vAlign w:val="center"/>
          </w:tcPr>
          <w:p w14:paraId="03E3B470">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518DD500">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□建筑面积在3000平方米（含本数，下同）以上或经营摊位100个以上的可燃商品的商场；</w:t>
            </w:r>
          </w:p>
          <w:p w14:paraId="49313033">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□占地面积超过5000平方米的室内集贸市场、固定摊位数超过200个的室内批发市场；</w:t>
            </w:r>
          </w:p>
          <w:p w14:paraId="7F12EE23">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□三星级（或者相当于三星级）及以上的宾（旅）馆或者总床位数超过100张（含本数，下同）普通的旅馆及产妇住宿床位在50张以上的孕婴服务场所；</w:t>
            </w:r>
          </w:p>
          <w:p w14:paraId="1446BE36">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□总建筑面积超过3000平方米</w:t>
            </w:r>
            <w:r>
              <w:rPr>
                <w:rFonts w:hint="eastAsia" w:ascii="Times New Roman" w:hAnsi="Times New Roman" w:eastAsia="楷体" w:cs="Times New Roman"/>
                <w:lang w:eastAsia="zh-CN"/>
              </w:rPr>
              <w:t>的</w:t>
            </w:r>
            <w:r>
              <w:rPr>
                <w:rFonts w:ascii="Times New Roman" w:hAnsi="Times New Roman" w:eastAsia="楷体" w:cs="Times New Roman"/>
                <w:lang w:eastAsia="zh-CN"/>
              </w:rPr>
              <w:t>对公众开放的体育场馆、会堂、礼堂；</w:t>
            </w:r>
          </w:p>
          <w:p w14:paraId="78FBDD14">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□建筑面积超过2500平方米的影剧院、放映厅等演出、放映场所；</w:t>
            </w:r>
          </w:p>
          <w:p w14:paraId="715D42B2">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□建筑面积超过500平方米的歌舞厅、卡拉OK厅等歌舞娱乐场所，具有娱乐功能的夜总会、音乐茶座和餐饮场所；</w:t>
            </w:r>
          </w:p>
          <w:p w14:paraId="21D49F60">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建筑面积超过500平方米的网吧、游艺厅（含电子游艺厅）、棋牌室、桌球房、酒吧和建筑面积超过1000平方米的保龄球馆、旱冰场、健身房、洗浴（含桑拿浴、足浴）、美容美发等游艺、游乐场所和营业性健身、美容、休闲场所；</w:t>
            </w:r>
          </w:p>
          <w:p w14:paraId="74F2F153">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□建筑面积超过500平方米的剧本杀、密室逃脱等“新兴娱乐”场所。</w:t>
            </w:r>
          </w:p>
        </w:tc>
      </w:tr>
      <w:tr w14:paraId="3DE50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474" w:type="dxa"/>
            <w:vMerge w:val="restart"/>
            <w:tcBorders>
              <w:left w:val="single" w:color="auto" w:sz="12" w:space="0"/>
            </w:tcBorders>
            <w:shd w:val="clear" w:color="auto" w:fill="auto"/>
            <w:vAlign w:val="center"/>
          </w:tcPr>
          <w:p w14:paraId="372303B3">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2</w:t>
            </w:r>
          </w:p>
        </w:tc>
        <w:tc>
          <w:tcPr>
            <w:tcW w:w="9957" w:type="dxa"/>
            <w:gridSpan w:val="7"/>
            <w:tcBorders>
              <w:right w:val="single" w:color="auto" w:sz="12" w:space="0"/>
            </w:tcBorders>
            <w:shd w:val="clear" w:color="auto" w:fill="auto"/>
            <w:vAlign w:val="center"/>
          </w:tcPr>
          <w:p w14:paraId="5551CAFC">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b/>
                <w:bCs/>
                <w:lang w:eastAsia="zh-CN"/>
              </w:rPr>
              <w:t>医院、养老院和寄宿制的学校、托儿所、幼儿园：</w:t>
            </w:r>
          </w:p>
        </w:tc>
      </w:tr>
      <w:tr w14:paraId="4974C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474" w:type="dxa"/>
            <w:vMerge w:val="continue"/>
            <w:tcBorders>
              <w:left w:val="single" w:color="auto" w:sz="12" w:space="0"/>
            </w:tcBorders>
            <w:shd w:val="clear" w:color="auto" w:fill="auto"/>
            <w:vAlign w:val="center"/>
          </w:tcPr>
          <w:p w14:paraId="156587CB">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73174232">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□住院床位在100张以上的医院；</w:t>
            </w:r>
          </w:p>
          <w:p w14:paraId="5E5374FE">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□老人住宿床位在100张以上的养老院、敬老院等老年人照料设施及福利院等；</w:t>
            </w:r>
          </w:p>
          <w:p w14:paraId="42BC25CA">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□学生住宿床位在300张以上的寄宿制学校；</w:t>
            </w:r>
          </w:p>
          <w:p w14:paraId="47029757">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□幼儿人数在300人以上的托儿所、幼儿园或者幼儿住宿床位50张以上的托儿所、幼儿园（不含午托）。</w:t>
            </w:r>
          </w:p>
        </w:tc>
      </w:tr>
      <w:tr w14:paraId="12C2E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474" w:type="dxa"/>
            <w:vMerge w:val="restart"/>
            <w:tcBorders>
              <w:left w:val="single" w:color="auto" w:sz="12" w:space="0"/>
            </w:tcBorders>
            <w:shd w:val="clear" w:color="auto" w:fill="auto"/>
            <w:vAlign w:val="center"/>
          </w:tcPr>
          <w:p w14:paraId="1EFA2A3E">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3</w:t>
            </w:r>
          </w:p>
        </w:tc>
        <w:tc>
          <w:tcPr>
            <w:tcW w:w="9957" w:type="dxa"/>
            <w:gridSpan w:val="7"/>
            <w:tcBorders>
              <w:right w:val="single" w:color="auto" w:sz="12" w:space="0"/>
            </w:tcBorders>
            <w:shd w:val="clear" w:color="auto" w:fill="auto"/>
            <w:vAlign w:val="center"/>
          </w:tcPr>
          <w:p w14:paraId="7E3357F9">
            <w:pPr>
              <w:widowControl w:val="0"/>
              <w:kinsoku/>
              <w:spacing w:line="240" w:lineRule="exact"/>
              <w:rPr>
                <w:rFonts w:ascii="Times New Roman" w:hAnsi="Times New Roman" w:eastAsia="楷体" w:cs="Times New Roman"/>
              </w:rPr>
            </w:pPr>
            <w:r>
              <w:rPr>
                <w:rFonts w:ascii="Times New Roman" w:hAnsi="Times New Roman" w:eastAsia="楷体" w:cs="Times New Roman"/>
                <w:b/>
                <w:bCs/>
              </w:rPr>
              <w:t>国家机关</w:t>
            </w:r>
            <w:r>
              <w:rPr>
                <w:rFonts w:ascii="Times New Roman" w:hAnsi="Times New Roman" w:eastAsia="楷体" w:cs="Times New Roman"/>
                <w:b/>
                <w:bCs/>
                <w:lang w:eastAsia="zh-CN"/>
              </w:rPr>
              <w:t>：</w:t>
            </w:r>
          </w:p>
        </w:tc>
      </w:tr>
      <w:tr w14:paraId="5C3A7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474" w:type="dxa"/>
            <w:vMerge w:val="continue"/>
            <w:tcBorders>
              <w:left w:val="single" w:color="auto" w:sz="12" w:space="0"/>
            </w:tcBorders>
            <w:shd w:val="clear" w:color="auto" w:fill="auto"/>
            <w:vAlign w:val="center"/>
          </w:tcPr>
          <w:p w14:paraId="5A562A09">
            <w:pPr>
              <w:widowControl w:val="0"/>
              <w:kinsoku/>
              <w:spacing w:line="240" w:lineRule="exact"/>
              <w:ind w:left="425" w:hanging="425"/>
              <w:jc w:val="center"/>
              <w:rPr>
                <w:rFonts w:ascii="Times New Roman" w:hAnsi="Times New Roman" w:cs="Times New Roman"/>
                <w:b/>
                <w:bCs/>
              </w:rPr>
            </w:pPr>
          </w:p>
        </w:tc>
        <w:tc>
          <w:tcPr>
            <w:tcW w:w="9957" w:type="dxa"/>
            <w:gridSpan w:val="7"/>
            <w:tcBorders>
              <w:right w:val="single" w:color="auto" w:sz="12" w:space="0"/>
            </w:tcBorders>
            <w:shd w:val="clear" w:color="auto" w:fill="auto"/>
            <w:vAlign w:val="center"/>
          </w:tcPr>
          <w:p w14:paraId="6C85988E">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□县级以上的党委、人大、政府、政协机关；□县级以上的人民检察院、人民法院。</w:t>
            </w:r>
          </w:p>
        </w:tc>
      </w:tr>
      <w:tr w14:paraId="348E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474" w:type="dxa"/>
            <w:vMerge w:val="restart"/>
            <w:tcBorders>
              <w:left w:val="single" w:color="auto" w:sz="12" w:space="0"/>
            </w:tcBorders>
            <w:shd w:val="clear" w:color="auto" w:fill="auto"/>
            <w:vAlign w:val="center"/>
          </w:tcPr>
          <w:p w14:paraId="4A062869">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4</w:t>
            </w:r>
          </w:p>
        </w:tc>
        <w:tc>
          <w:tcPr>
            <w:tcW w:w="9957" w:type="dxa"/>
            <w:gridSpan w:val="7"/>
            <w:tcBorders>
              <w:right w:val="single" w:color="auto" w:sz="12" w:space="0"/>
            </w:tcBorders>
            <w:shd w:val="clear" w:color="auto" w:fill="auto"/>
            <w:vAlign w:val="center"/>
          </w:tcPr>
          <w:p w14:paraId="69491A9C">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b/>
                <w:bCs/>
                <w:lang w:eastAsia="zh-CN"/>
              </w:rPr>
              <w:t>广播、电视和邮政、通信枢纽：</w:t>
            </w:r>
          </w:p>
        </w:tc>
      </w:tr>
      <w:tr w14:paraId="33505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474" w:type="dxa"/>
            <w:vMerge w:val="continue"/>
            <w:tcBorders>
              <w:left w:val="single" w:color="auto" w:sz="12" w:space="0"/>
            </w:tcBorders>
            <w:shd w:val="clear" w:color="auto" w:fill="auto"/>
            <w:vAlign w:val="center"/>
          </w:tcPr>
          <w:p w14:paraId="640386A7">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76519865">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□县级以上城镇的邮政、通信枢纽单位、广播电视台。</w:t>
            </w:r>
          </w:p>
        </w:tc>
      </w:tr>
      <w:tr w14:paraId="11FBD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dxa"/>
            <w:vMerge w:val="restart"/>
            <w:tcBorders>
              <w:left w:val="single" w:color="auto" w:sz="12" w:space="0"/>
            </w:tcBorders>
            <w:shd w:val="clear" w:color="auto" w:fill="auto"/>
            <w:vAlign w:val="center"/>
          </w:tcPr>
          <w:p w14:paraId="2B6004AA">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5</w:t>
            </w:r>
          </w:p>
        </w:tc>
        <w:tc>
          <w:tcPr>
            <w:tcW w:w="9957" w:type="dxa"/>
            <w:gridSpan w:val="7"/>
            <w:tcBorders>
              <w:right w:val="single" w:color="auto" w:sz="12" w:space="0"/>
            </w:tcBorders>
            <w:shd w:val="clear" w:color="auto" w:fill="auto"/>
            <w:vAlign w:val="center"/>
          </w:tcPr>
          <w:p w14:paraId="1D9FAEA6">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b/>
                <w:bCs/>
                <w:lang w:eastAsia="zh-CN"/>
              </w:rPr>
              <w:t>客运车站、民用机场：</w:t>
            </w:r>
          </w:p>
        </w:tc>
      </w:tr>
      <w:tr w14:paraId="76D51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474" w:type="dxa"/>
            <w:vMerge w:val="continue"/>
            <w:tcBorders>
              <w:left w:val="single" w:color="auto" w:sz="12" w:space="0"/>
            </w:tcBorders>
            <w:shd w:val="clear" w:color="auto" w:fill="auto"/>
            <w:vAlign w:val="center"/>
          </w:tcPr>
          <w:p w14:paraId="05337B6A">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117CABBC">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□建筑面积超过3000平方米的客运车站候车室；□民用机场航站楼。</w:t>
            </w:r>
          </w:p>
        </w:tc>
      </w:tr>
      <w:tr w14:paraId="1A4A7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474" w:type="dxa"/>
            <w:vMerge w:val="restart"/>
            <w:tcBorders>
              <w:left w:val="single" w:color="auto" w:sz="12" w:space="0"/>
            </w:tcBorders>
            <w:shd w:val="clear" w:color="auto" w:fill="auto"/>
            <w:vAlign w:val="center"/>
          </w:tcPr>
          <w:p w14:paraId="6718E2C0">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6</w:t>
            </w:r>
          </w:p>
        </w:tc>
        <w:tc>
          <w:tcPr>
            <w:tcW w:w="9957" w:type="dxa"/>
            <w:gridSpan w:val="7"/>
            <w:tcBorders>
              <w:right w:val="single" w:color="auto" w:sz="12" w:space="0"/>
            </w:tcBorders>
            <w:shd w:val="clear" w:color="auto" w:fill="auto"/>
            <w:vAlign w:val="center"/>
          </w:tcPr>
          <w:p w14:paraId="40BFD490">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b/>
                <w:bCs/>
                <w:lang w:eastAsia="zh-CN"/>
              </w:rPr>
              <w:t>公共图书馆、展览馆、博物馆、档案馆以及具有火灾危险性的文物保护单位：</w:t>
            </w:r>
          </w:p>
        </w:tc>
      </w:tr>
      <w:tr w14:paraId="19F80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474" w:type="dxa"/>
            <w:vMerge w:val="continue"/>
            <w:tcBorders>
              <w:left w:val="single" w:color="auto" w:sz="12" w:space="0"/>
            </w:tcBorders>
            <w:shd w:val="clear" w:color="auto" w:fill="auto"/>
            <w:vAlign w:val="center"/>
          </w:tcPr>
          <w:p w14:paraId="360FA812">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191570D1">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□建筑面积超过2000平方米的公共图书馆、展览馆；□公共博物馆、档案馆；</w:t>
            </w:r>
          </w:p>
          <w:p w14:paraId="6695C01D">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□具有火灾危险性的省级以上文物保护单位。</w:t>
            </w:r>
          </w:p>
        </w:tc>
      </w:tr>
      <w:tr w14:paraId="58C22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4" w:type="dxa"/>
            <w:vMerge w:val="restart"/>
            <w:tcBorders>
              <w:left w:val="single" w:color="auto" w:sz="12" w:space="0"/>
            </w:tcBorders>
            <w:shd w:val="clear" w:color="auto" w:fill="auto"/>
            <w:vAlign w:val="center"/>
          </w:tcPr>
          <w:p w14:paraId="5C7B2C1C">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7</w:t>
            </w:r>
          </w:p>
        </w:tc>
        <w:tc>
          <w:tcPr>
            <w:tcW w:w="9957" w:type="dxa"/>
            <w:gridSpan w:val="7"/>
            <w:tcBorders>
              <w:right w:val="single" w:color="auto" w:sz="12" w:space="0"/>
            </w:tcBorders>
            <w:shd w:val="clear" w:color="auto" w:fill="auto"/>
            <w:vAlign w:val="center"/>
          </w:tcPr>
          <w:p w14:paraId="7C580B9B">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b/>
                <w:bCs/>
                <w:lang w:eastAsia="zh-CN"/>
              </w:rPr>
              <w:t>旅游、宗教活动场所：</w:t>
            </w:r>
          </w:p>
        </w:tc>
      </w:tr>
      <w:tr w14:paraId="6F8CB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474" w:type="dxa"/>
            <w:vMerge w:val="continue"/>
            <w:tcBorders>
              <w:left w:val="single" w:color="auto" w:sz="12" w:space="0"/>
            </w:tcBorders>
            <w:shd w:val="clear" w:color="auto" w:fill="auto"/>
            <w:vAlign w:val="center"/>
          </w:tcPr>
          <w:p w14:paraId="2B4DE922">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740143A3">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□4A级以上的旅游风景区；□总建筑面积超过2000平方米的宗教活动场所。</w:t>
            </w:r>
          </w:p>
        </w:tc>
      </w:tr>
      <w:tr w14:paraId="15CC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474" w:type="dxa"/>
            <w:vMerge w:val="restart"/>
            <w:tcBorders>
              <w:left w:val="single" w:color="auto" w:sz="12" w:space="0"/>
            </w:tcBorders>
            <w:shd w:val="clear" w:color="auto" w:fill="auto"/>
            <w:vAlign w:val="center"/>
          </w:tcPr>
          <w:p w14:paraId="05A2F6B2">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8</w:t>
            </w:r>
          </w:p>
        </w:tc>
        <w:tc>
          <w:tcPr>
            <w:tcW w:w="9957" w:type="dxa"/>
            <w:gridSpan w:val="7"/>
            <w:tcBorders>
              <w:right w:val="single" w:color="auto" w:sz="12" w:space="0"/>
            </w:tcBorders>
            <w:shd w:val="clear" w:color="auto" w:fill="auto"/>
            <w:vAlign w:val="center"/>
          </w:tcPr>
          <w:p w14:paraId="57DEB4D9">
            <w:pPr>
              <w:widowControl w:val="0"/>
              <w:kinsoku/>
              <w:spacing w:line="240" w:lineRule="exact"/>
              <w:ind w:left="211" w:hanging="211" w:hangingChars="100"/>
              <w:rPr>
                <w:rFonts w:ascii="Times New Roman" w:hAnsi="Times New Roman" w:eastAsia="楷体" w:cs="Times New Roman"/>
                <w:lang w:eastAsia="zh-CN"/>
              </w:rPr>
            </w:pPr>
            <w:r>
              <w:rPr>
                <w:rFonts w:ascii="Times New Roman" w:hAnsi="Times New Roman" w:eastAsia="楷体" w:cs="Times New Roman"/>
                <w:b/>
                <w:bCs/>
                <w:lang w:eastAsia="zh-CN"/>
              </w:rPr>
              <w:t>发电厂（站）和电网经营企业：</w:t>
            </w:r>
          </w:p>
        </w:tc>
      </w:tr>
      <w:tr w14:paraId="4650D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474" w:type="dxa"/>
            <w:vMerge w:val="continue"/>
            <w:tcBorders>
              <w:left w:val="single" w:color="auto" w:sz="12" w:space="0"/>
            </w:tcBorders>
            <w:shd w:val="clear" w:color="auto" w:fill="auto"/>
            <w:vAlign w:val="center"/>
          </w:tcPr>
          <w:p w14:paraId="6CD920B2">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7C45B454">
            <w:pPr>
              <w:widowControl w:val="0"/>
              <w:kinsoku/>
              <w:spacing w:line="240" w:lineRule="exact"/>
              <w:ind w:left="105" w:hanging="105" w:hangingChars="50"/>
              <w:rPr>
                <w:rFonts w:ascii="Times New Roman" w:hAnsi="Times New Roman" w:eastAsia="楷体" w:cs="Times New Roman"/>
                <w:lang w:eastAsia="zh-CN"/>
              </w:rPr>
            </w:pPr>
            <w:r>
              <w:rPr>
                <w:rFonts w:ascii="Times New Roman" w:hAnsi="Times New Roman" w:eastAsia="楷体" w:cs="Times New Roman"/>
                <w:lang w:eastAsia="zh-CN"/>
              </w:rPr>
              <w:t>□100MW以上的火力发电厂、50MW以上的水力发电厂；□承担省、市、县（区）电力调度单位；</w:t>
            </w:r>
          </w:p>
          <w:p w14:paraId="15B7C6C3">
            <w:pPr>
              <w:widowControl w:val="0"/>
              <w:kinsoku/>
              <w:spacing w:line="240" w:lineRule="exact"/>
              <w:ind w:left="105" w:hanging="105" w:hangingChars="50"/>
              <w:rPr>
                <w:rFonts w:ascii="Times New Roman" w:hAnsi="Times New Roman" w:eastAsia="楷体" w:cs="Times New Roman"/>
                <w:lang w:eastAsia="zh-CN"/>
              </w:rPr>
            </w:pPr>
            <w:r>
              <w:rPr>
                <w:rFonts w:ascii="Times New Roman" w:hAnsi="Times New Roman" w:eastAsia="楷体" w:cs="Times New Roman"/>
                <w:lang w:eastAsia="zh-CN"/>
              </w:rPr>
              <w:t>□交流330千伏及以上、直流±500千伏及以上变电站；□储能电站。</w:t>
            </w:r>
          </w:p>
        </w:tc>
      </w:tr>
      <w:tr w14:paraId="073E0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74" w:type="dxa"/>
            <w:vMerge w:val="restart"/>
            <w:tcBorders>
              <w:left w:val="single" w:color="auto" w:sz="12" w:space="0"/>
            </w:tcBorders>
            <w:shd w:val="clear" w:color="auto" w:fill="auto"/>
            <w:vAlign w:val="center"/>
          </w:tcPr>
          <w:p w14:paraId="27A03DEB">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9</w:t>
            </w:r>
          </w:p>
        </w:tc>
        <w:tc>
          <w:tcPr>
            <w:tcW w:w="9957" w:type="dxa"/>
            <w:gridSpan w:val="7"/>
            <w:tcBorders>
              <w:right w:val="single" w:color="auto" w:sz="12" w:space="0"/>
            </w:tcBorders>
            <w:shd w:val="clear" w:color="auto" w:fill="auto"/>
            <w:vAlign w:val="center"/>
          </w:tcPr>
          <w:p w14:paraId="497421B5">
            <w:pPr>
              <w:widowControl w:val="0"/>
              <w:kinsoku/>
              <w:spacing w:line="240" w:lineRule="exact"/>
              <w:ind w:left="211" w:hanging="211" w:hangingChars="100"/>
              <w:rPr>
                <w:rFonts w:ascii="Times New Roman" w:hAnsi="Times New Roman" w:eastAsia="楷体" w:cs="Times New Roman"/>
                <w:lang w:eastAsia="zh-CN"/>
              </w:rPr>
            </w:pPr>
            <w:r>
              <w:rPr>
                <w:rFonts w:ascii="Times New Roman" w:hAnsi="Times New Roman" w:eastAsia="楷体" w:cs="Times New Roman"/>
                <w:b/>
                <w:bCs/>
                <w:lang w:eastAsia="zh-CN"/>
              </w:rPr>
              <w:t>易燃易爆化学物品的生产、充装、存储、供应、销售单位：</w:t>
            </w:r>
          </w:p>
        </w:tc>
      </w:tr>
      <w:tr w14:paraId="631E7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474" w:type="dxa"/>
            <w:vMerge w:val="continue"/>
            <w:tcBorders>
              <w:left w:val="single" w:color="auto" w:sz="12" w:space="0"/>
            </w:tcBorders>
            <w:shd w:val="clear" w:color="auto" w:fill="auto"/>
            <w:vAlign w:val="center"/>
          </w:tcPr>
          <w:p w14:paraId="7168DD06">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5EF41C59">
            <w:pPr>
              <w:widowControl w:val="0"/>
              <w:kinsoku/>
              <w:spacing w:line="240" w:lineRule="exact"/>
              <w:ind w:left="105" w:hanging="105" w:hangingChars="50"/>
              <w:rPr>
                <w:rFonts w:ascii="Times New Roman" w:hAnsi="Times New Roman" w:eastAsia="楷体" w:cs="Times New Roman"/>
                <w:lang w:eastAsia="zh-CN"/>
              </w:rPr>
            </w:pPr>
            <w:r>
              <w:rPr>
                <w:rFonts w:ascii="Times New Roman" w:hAnsi="Times New Roman" w:eastAsia="楷体" w:cs="Times New Roman"/>
                <w:lang w:eastAsia="zh-CN"/>
              </w:rPr>
              <w:t>□工艺装置占地面积超过5000平方米的石化、煤化等化工单位；</w:t>
            </w:r>
          </w:p>
          <w:p w14:paraId="55F07532">
            <w:pPr>
              <w:widowControl w:val="0"/>
              <w:kinsoku/>
              <w:spacing w:line="240" w:lineRule="exact"/>
              <w:ind w:left="105" w:hanging="105" w:hangingChars="50"/>
              <w:rPr>
                <w:rFonts w:ascii="Times New Roman" w:hAnsi="Times New Roman" w:eastAsia="楷体" w:cs="Times New Roman"/>
                <w:lang w:eastAsia="zh-CN"/>
              </w:rPr>
            </w:pPr>
            <w:r>
              <w:rPr>
                <w:rFonts w:ascii="Times New Roman" w:hAnsi="Times New Roman" w:eastAsia="楷体" w:cs="Times New Roman"/>
                <w:lang w:eastAsia="zh-CN"/>
              </w:rPr>
              <w:t>□总建筑面积超过1500平方米的甲类厂房，或者总建筑面积超过2000平方米的甲、乙类厂房；</w:t>
            </w:r>
          </w:p>
          <w:p w14:paraId="37E4E47E">
            <w:pPr>
              <w:widowControl w:val="0"/>
              <w:kinsoku/>
              <w:spacing w:line="240" w:lineRule="exact"/>
              <w:ind w:left="105" w:hanging="105" w:hangingChars="50"/>
              <w:rPr>
                <w:rFonts w:ascii="Times New Roman" w:hAnsi="Times New Roman" w:cs="Times New Roman" w:eastAsiaTheme="minorEastAsia"/>
                <w:lang w:eastAsia="zh-CN"/>
              </w:rPr>
            </w:pPr>
            <w:r>
              <w:rPr>
                <w:rFonts w:ascii="Times New Roman" w:hAnsi="Times New Roman" w:eastAsia="楷体" w:cs="Times New Roman"/>
                <w:lang w:eastAsia="zh-CN"/>
              </w:rPr>
              <w:t>□总容量500立方米以上的可燃气体灌装站、调压站。</w:t>
            </w:r>
          </w:p>
        </w:tc>
      </w:tr>
      <w:tr w14:paraId="3590D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474" w:type="dxa"/>
            <w:vMerge w:val="continue"/>
            <w:tcBorders>
              <w:left w:val="single" w:color="auto" w:sz="12" w:space="0"/>
            </w:tcBorders>
            <w:shd w:val="clear" w:color="auto" w:fill="auto"/>
            <w:vAlign w:val="center"/>
          </w:tcPr>
          <w:p w14:paraId="34411427">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3FAEF243">
            <w:pPr>
              <w:widowControl w:val="0"/>
              <w:spacing w:line="240" w:lineRule="exact"/>
              <w:rPr>
                <w:rFonts w:ascii="Times New Roman" w:hAnsi="Times New Roman" w:eastAsia="楷体" w:cs="Times New Roman"/>
                <w:lang w:eastAsia="zh-CN"/>
              </w:rPr>
            </w:pPr>
            <w:r>
              <w:rPr>
                <w:rFonts w:ascii="Times New Roman" w:hAnsi="Times New Roman" w:eastAsia="楷体" w:cs="Times New Roman"/>
                <w:b/>
                <w:bCs/>
                <w:lang w:eastAsia="zh-CN"/>
              </w:rPr>
              <w:t>储存易燃易爆化学物品的专用仓库（堆场、储罐场所）：</w:t>
            </w:r>
          </w:p>
        </w:tc>
      </w:tr>
      <w:tr w14:paraId="7A0E7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474" w:type="dxa"/>
            <w:vMerge w:val="continue"/>
            <w:tcBorders>
              <w:left w:val="single" w:color="auto" w:sz="12" w:space="0"/>
            </w:tcBorders>
            <w:shd w:val="clear" w:color="auto" w:fill="auto"/>
            <w:vAlign w:val="center"/>
          </w:tcPr>
          <w:p w14:paraId="10E370AF">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3F6C67E8">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□单座容积超过5000立方米或者总容积超过10000立方米的甲乙类储罐；</w:t>
            </w:r>
          </w:p>
          <w:p w14:paraId="3CDAF4BE">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□单座容积超过500立方米或者总容积超过2000立方米的液化烃（含液化石油气）储罐</w:t>
            </w:r>
            <w:r>
              <w:rPr>
                <w:rFonts w:hint="eastAsia" w:ascii="Times New Roman" w:hAnsi="Times New Roman" w:eastAsia="楷体" w:cs="Times New Roman"/>
                <w:lang w:eastAsia="zh-CN"/>
              </w:rPr>
              <w:t>；</w:t>
            </w:r>
          </w:p>
          <w:p w14:paraId="0066927D">
            <w:pPr>
              <w:widowControl w:val="0"/>
              <w:spacing w:line="240" w:lineRule="exact"/>
              <w:rPr>
                <w:rFonts w:ascii="Times New Roman" w:hAnsi="Times New Roman" w:eastAsia="楷体" w:cs="Times New Roman"/>
                <w:lang w:eastAsia="zh-CN"/>
              </w:rPr>
            </w:pPr>
            <w:r>
              <w:rPr>
                <w:rFonts w:ascii="Times New Roman" w:hAnsi="Times New Roman" w:eastAsia="楷体" w:cs="Times New Roman"/>
                <w:lang w:eastAsia="zh-CN"/>
              </w:rPr>
              <w:t>□总建筑面积超过750平方米的甲类仓库，或者总建筑面积超过2000平方米的甲、乙类仓库。</w:t>
            </w:r>
          </w:p>
        </w:tc>
      </w:tr>
      <w:tr w14:paraId="06DE3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474" w:type="dxa"/>
            <w:vMerge w:val="restart"/>
            <w:tcBorders>
              <w:left w:val="single" w:color="auto" w:sz="12" w:space="0"/>
            </w:tcBorders>
            <w:shd w:val="clear" w:color="auto" w:fill="auto"/>
            <w:vAlign w:val="center"/>
          </w:tcPr>
          <w:p w14:paraId="238CED55">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10</w:t>
            </w:r>
          </w:p>
        </w:tc>
        <w:tc>
          <w:tcPr>
            <w:tcW w:w="9957" w:type="dxa"/>
            <w:gridSpan w:val="7"/>
            <w:tcBorders>
              <w:right w:val="single" w:color="auto" w:sz="12" w:space="0"/>
            </w:tcBorders>
            <w:shd w:val="clear" w:color="auto" w:fill="auto"/>
            <w:vAlign w:val="center"/>
          </w:tcPr>
          <w:p w14:paraId="7079AC91">
            <w:pPr>
              <w:widowControl w:val="0"/>
              <w:kinsoku/>
              <w:spacing w:line="240" w:lineRule="exact"/>
              <w:rPr>
                <w:rFonts w:ascii="Times New Roman" w:hAnsi="Times New Roman" w:eastAsia="楷体" w:cs="Times New Roman"/>
              </w:rPr>
            </w:pPr>
            <w:r>
              <w:rPr>
                <w:rFonts w:ascii="Times New Roman" w:hAnsi="Times New Roman" w:eastAsia="楷体" w:cs="Times New Roman"/>
                <w:b/>
                <w:bCs/>
                <w:lang w:eastAsia="zh-CN"/>
              </w:rPr>
              <w:t>生产、加工企业：</w:t>
            </w:r>
          </w:p>
        </w:tc>
      </w:tr>
      <w:tr w14:paraId="3FAB2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474" w:type="dxa"/>
            <w:vMerge w:val="continue"/>
            <w:tcBorders>
              <w:left w:val="single" w:color="auto" w:sz="12" w:space="0"/>
            </w:tcBorders>
            <w:shd w:val="clear" w:color="auto" w:fill="auto"/>
            <w:vAlign w:val="center"/>
          </w:tcPr>
          <w:p w14:paraId="16D4FCF0">
            <w:pPr>
              <w:widowControl w:val="0"/>
              <w:kinsoku/>
              <w:spacing w:line="240" w:lineRule="exact"/>
              <w:ind w:left="425" w:hanging="425"/>
              <w:jc w:val="center"/>
              <w:rPr>
                <w:rFonts w:ascii="Times New Roman" w:hAnsi="Times New Roman" w:cs="Times New Roman"/>
                <w:b/>
                <w:bCs/>
              </w:rPr>
            </w:pPr>
          </w:p>
        </w:tc>
        <w:tc>
          <w:tcPr>
            <w:tcW w:w="9957" w:type="dxa"/>
            <w:gridSpan w:val="7"/>
            <w:tcBorders>
              <w:right w:val="single" w:color="auto" w:sz="12" w:space="0"/>
            </w:tcBorders>
            <w:shd w:val="clear" w:color="auto" w:fill="auto"/>
            <w:vAlign w:val="center"/>
          </w:tcPr>
          <w:p w14:paraId="03F841AF">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□生产车间员工在100人以上的服装、鞋帽、玩具、木制品、家具、塑料、食品加工和纺织、印染等劳动密集型企业；</w:t>
            </w:r>
          </w:p>
          <w:p w14:paraId="65FC766B">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□总建筑面积在2000平方米（西安5000平方米）以上的洁净厂房、电子厂房；</w:t>
            </w:r>
          </w:p>
          <w:p w14:paraId="2157C848">
            <w:pPr>
              <w:widowControl w:val="0"/>
              <w:kinsoku/>
              <w:spacing w:line="240" w:lineRule="exact"/>
              <w:rPr>
                <w:rFonts w:ascii="Times New Roman" w:hAnsi="Times New Roman" w:cs="Times New Roman"/>
                <w:lang w:eastAsia="zh-CN"/>
              </w:rPr>
            </w:pPr>
            <w:r>
              <w:rPr>
                <w:rFonts w:ascii="Times New Roman" w:hAnsi="Times New Roman" w:eastAsia="楷体" w:cs="Times New Roman"/>
                <w:lang w:eastAsia="zh-CN"/>
              </w:rPr>
              <w:t>□总建筑面积在6000平方米（西安10000平方米）以上的丙类厂房。</w:t>
            </w:r>
          </w:p>
        </w:tc>
      </w:tr>
      <w:tr w14:paraId="46B6D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474" w:type="dxa"/>
            <w:vMerge w:val="restart"/>
            <w:tcBorders>
              <w:left w:val="single" w:color="auto" w:sz="12" w:space="0"/>
            </w:tcBorders>
            <w:shd w:val="clear" w:color="auto" w:fill="auto"/>
            <w:vAlign w:val="center"/>
          </w:tcPr>
          <w:p w14:paraId="249300BB">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11</w:t>
            </w:r>
          </w:p>
        </w:tc>
        <w:tc>
          <w:tcPr>
            <w:tcW w:w="9957" w:type="dxa"/>
            <w:gridSpan w:val="7"/>
            <w:tcBorders>
              <w:right w:val="single" w:color="auto" w:sz="12" w:space="0"/>
            </w:tcBorders>
            <w:shd w:val="clear" w:color="auto" w:fill="auto"/>
            <w:vAlign w:val="center"/>
          </w:tcPr>
          <w:p w14:paraId="368FD3A3">
            <w:pPr>
              <w:widowControl w:val="0"/>
              <w:kinsoku/>
              <w:spacing w:line="240" w:lineRule="exact"/>
              <w:rPr>
                <w:rFonts w:ascii="Times New Roman" w:hAnsi="Times New Roman" w:eastAsia="方正黑体_GBK" w:cs="Times New Roman"/>
              </w:rPr>
            </w:pPr>
            <w:r>
              <w:rPr>
                <w:rFonts w:ascii="Times New Roman" w:hAnsi="Times New Roman" w:eastAsia="楷体" w:cs="Times New Roman"/>
                <w:b/>
                <w:bCs/>
                <w:lang w:eastAsia="zh-CN"/>
              </w:rPr>
              <w:t>重要的科研单位：</w:t>
            </w:r>
          </w:p>
        </w:tc>
      </w:tr>
      <w:tr w14:paraId="68FCD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474" w:type="dxa"/>
            <w:vMerge w:val="continue"/>
            <w:tcBorders>
              <w:left w:val="single" w:color="auto" w:sz="12" w:space="0"/>
            </w:tcBorders>
            <w:shd w:val="clear" w:color="auto" w:fill="auto"/>
            <w:vAlign w:val="center"/>
          </w:tcPr>
          <w:p w14:paraId="6F2B6B0B">
            <w:pPr>
              <w:widowControl w:val="0"/>
              <w:kinsoku/>
              <w:spacing w:line="240" w:lineRule="exact"/>
              <w:ind w:left="425" w:hanging="425"/>
              <w:jc w:val="center"/>
              <w:rPr>
                <w:rFonts w:ascii="Times New Roman" w:hAnsi="Times New Roman" w:cs="Times New Roman"/>
                <w:b/>
                <w:bCs/>
              </w:rPr>
            </w:pPr>
          </w:p>
        </w:tc>
        <w:tc>
          <w:tcPr>
            <w:tcW w:w="9957" w:type="dxa"/>
            <w:gridSpan w:val="7"/>
            <w:tcBorders>
              <w:right w:val="single" w:color="auto" w:sz="12" w:space="0"/>
            </w:tcBorders>
            <w:shd w:val="clear" w:color="auto" w:fill="auto"/>
            <w:vAlign w:val="center"/>
          </w:tcPr>
          <w:p w14:paraId="48CA5FB8">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□国家和省级科研单位；□负责国家重点科研项目的科研单位；</w:t>
            </w:r>
          </w:p>
          <w:p w14:paraId="16C6F049">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□储存易燃易爆化学危险物品（甲、乙类）超过300公斤的科研单位。</w:t>
            </w:r>
          </w:p>
        </w:tc>
      </w:tr>
      <w:tr w14:paraId="2D942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474" w:type="dxa"/>
            <w:vMerge w:val="restart"/>
            <w:tcBorders>
              <w:left w:val="single" w:color="auto" w:sz="12" w:space="0"/>
            </w:tcBorders>
            <w:shd w:val="clear" w:color="auto" w:fill="auto"/>
            <w:vAlign w:val="center"/>
          </w:tcPr>
          <w:p w14:paraId="47BF3F67">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12</w:t>
            </w:r>
          </w:p>
        </w:tc>
        <w:tc>
          <w:tcPr>
            <w:tcW w:w="9957" w:type="dxa"/>
            <w:gridSpan w:val="7"/>
            <w:tcBorders>
              <w:right w:val="single" w:color="auto" w:sz="12" w:space="0"/>
            </w:tcBorders>
            <w:shd w:val="clear" w:color="auto" w:fill="auto"/>
            <w:vAlign w:val="center"/>
          </w:tcPr>
          <w:p w14:paraId="0EF023A5">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b/>
                <w:bCs/>
                <w:lang w:eastAsia="zh-CN"/>
              </w:rPr>
              <w:t>高层公共建筑、地下铁道、地下观光隧道、粮、棉、木材、百货等物资仓库和堆场：</w:t>
            </w:r>
          </w:p>
        </w:tc>
      </w:tr>
      <w:tr w14:paraId="42444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474" w:type="dxa"/>
            <w:vMerge w:val="continue"/>
            <w:tcBorders>
              <w:left w:val="single" w:color="auto" w:sz="12" w:space="0"/>
            </w:tcBorders>
            <w:shd w:val="clear" w:color="auto" w:fill="auto"/>
            <w:vAlign w:val="center"/>
          </w:tcPr>
          <w:p w14:paraId="26B07545">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5A8FA192">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□超高层公共建筑、设有符合重点单位界定标准公众聚集场所的一类高层公共建筑；</w:t>
            </w:r>
          </w:p>
          <w:p w14:paraId="53363F25">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□城市地下铁道、地下观光隧道等地下公共建筑和城市重要的交通隧道；</w:t>
            </w:r>
          </w:p>
          <w:p w14:paraId="632157DD">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□国家储备粮库、总数量10000吨以上的其他粮油仓库；</w:t>
            </w:r>
          </w:p>
          <w:p w14:paraId="1134A8EE">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□总储量500吨以上的棉库；</w:t>
            </w:r>
          </w:p>
          <w:p w14:paraId="2C417EAA">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□总储量在10000立方米以上的木材堆场；</w:t>
            </w:r>
          </w:p>
          <w:p w14:paraId="67A50F2E">
            <w:pPr>
              <w:widowControl w:val="0"/>
              <w:kinsoku/>
              <w:spacing w:line="240" w:lineRule="exact"/>
              <w:rPr>
                <w:rFonts w:ascii="Times New Roman" w:hAnsi="Times New Roman" w:cs="Times New Roman"/>
                <w:lang w:eastAsia="zh-CN"/>
              </w:rPr>
            </w:pPr>
            <w:r>
              <w:rPr>
                <w:rFonts w:ascii="Times New Roman" w:hAnsi="Times New Roman" w:eastAsia="楷体" w:cs="Times New Roman"/>
                <w:lang w:eastAsia="zh-CN"/>
              </w:rPr>
              <w:t>□单层占地面积超过12000平方米或者多层占地面积超过9600平方米的大型物流仓库。</w:t>
            </w:r>
          </w:p>
        </w:tc>
      </w:tr>
      <w:tr w14:paraId="69B5D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474" w:type="dxa"/>
            <w:vMerge w:val="restart"/>
            <w:tcBorders>
              <w:left w:val="single" w:color="auto" w:sz="12" w:space="0"/>
            </w:tcBorders>
            <w:shd w:val="clear" w:color="auto" w:fill="auto"/>
            <w:vAlign w:val="center"/>
          </w:tcPr>
          <w:p w14:paraId="50471C33">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13</w:t>
            </w:r>
          </w:p>
        </w:tc>
        <w:tc>
          <w:tcPr>
            <w:tcW w:w="9957" w:type="dxa"/>
            <w:gridSpan w:val="7"/>
            <w:tcBorders>
              <w:right w:val="single" w:color="auto" w:sz="12" w:space="0"/>
            </w:tcBorders>
            <w:shd w:val="clear" w:color="auto" w:fill="auto"/>
            <w:vAlign w:val="center"/>
          </w:tcPr>
          <w:p w14:paraId="5311B767">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b/>
                <w:bCs/>
                <w:lang w:eastAsia="zh-CN"/>
              </w:rPr>
              <w:t>发生火灾可能性较大以及一旦发生火灾可能造成人身重大伤亡或者财产重大损失的单位：</w:t>
            </w:r>
          </w:p>
        </w:tc>
      </w:tr>
      <w:tr w14:paraId="12767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474" w:type="dxa"/>
            <w:vMerge w:val="continue"/>
            <w:tcBorders>
              <w:left w:val="single" w:color="auto" w:sz="12" w:space="0"/>
            </w:tcBorders>
            <w:shd w:val="clear" w:color="auto" w:fill="auto"/>
            <w:vAlign w:val="center"/>
          </w:tcPr>
          <w:p w14:paraId="7F78AFA6">
            <w:pPr>
              <w:widowControl w:val="0"/>
              <w:kinsoku/>
              <w:spacing w:before="156" w:beforeLines="50" w:after="156" w:afterLines="50" w:line="240" w:lineRule="exact"/>
              <w:ind w:right="480"/>
              <w:jc w:val="center"/>
              <w:rPr>
                <w:rFonts w:ascii="Times New Roman" w:hAnsi="Times New Roman" w:eastAsia="楷体" w:cs="Times New Roman"/>
                <w:lang w:eastAsia="zh-CN"/>
              </w:rPr>
            </w:pPr>
          </w:p>
        </w:tc>
        <w:tc>
          <w:tcPr>
            <w:tcW w:w="9957" w:type="dxa"/>
            <w:gridSpan w:val="7"/>
            <w:tcBorders>
              <w:right w:val="single" w:color="auto" w:sz="12" w:space="0"/>
            </w:tcBorders>
            <w:shd w:val="clear" w:color="auto" w:fill="auto"/>
            <w:vAlign w:val="center"/>
          </w:tcPr>
          <w:p w14:paraId="1D3EEF7E">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□固定资产（建筑、设备、原材料等）价值在5亿元以上的电子、汽车、钢铁、烟草、航天纺织、造纸工业等企业；□银行业、保险业、证券业数据处理中心；□各银行在陕的省级分支机构。</w:t>
            </w:r>
          </w:p>
        </w:tc>
      </w:tr>
      <w:tr w14:paraId="1715F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3" w:hRule="atLeast"/>
          <w:jc w:val="center"/>
        </w:trPr>
        <w:tc>
          <w:tcPr>
            <w:tcW w:w="3043" w:type="dxa"/>
            <w:gridSpan w:val="3"/>
            <w:tcBorders>
              <w:left w:val="single" w:color="auto" w:sz="12" w:space="0"/>
            </w:tcBorders>
            <w:vAlign w:val="center"/>
          </w:tcPr>
          <w:p w14:paraId="66365224">
            <w:pPr>
              <w:widowControl w:val="0"/>
              <w:kinsoku/>
              <w:jc w:val="center"/>
              <w:rPr>
                <w:rFonts w:hint="eastAsia" w:ascii="黑体" w:hAnsi="黑体" w:eastAsia="黑体" w:cs="Times New Roman"/>
                <w:b/>
                <w:sz w:val="24"/>
              </w:rPr>
            </w:pPr>
            <w:r>
              <w:rPr>
                <w:rFonts w:ascii="黑体" w:hAnsi="黑体" w:eastAsia="黑体" w:cs="Times New Roman"/>
                <w:sz w:val="24"/>
              </w:rPr>
              <w:t>申报单位意见</w:t>
            </w:r>
          </w:p>
        </w:tc>
        <w:tc>
          <w:tcPr>
            <w:tcW w:w="7388" w:type="dxa"/>
            <w:gridSpan w:val="5"/>
            <w:tcBorders>
              <w:right w:val="single" w:color="auto" w:sz="12" w:space="0"/>
            </w:tcBorders>
          </w:tcPr>
          <w:p w14:paraId="1656EA51">
            <w:pPr>
              <w:widowControl w:val="0"/>
              <w:kinsoku/>
              <w:spacing w:before="156" w:beforeLines="50" w:line="320" w:lineRule="exact"/>
              <w:ind w:firstLine="480" w:firstLineChars="200"/>
              <w:rPr>
                <w:rFonts w:ascii="Times New Roman" w:hAnsi="Times New Roman" w:eastAsia="楷体" w:cs="Times New Roman"/>
                <w:sz w:val="24"/>
                <w:lang w:eastAsia="zh-CN"/>
              </w:rPr>
            </w:pPr>
          </w:p>
          <w:p w14:paraId="4CFA191A">
            <w:pPr>
              <w:widowControl w:val="0"/>
              <w:kinsoku/>
              <w:spacing w:before="156" w:beforeLines="50" w:line="320" w:lineRule="exact"/>
              <w:ind w:firstLine="480" w:firstLineChars="200"/>
              <w:rPr>
                <w:rFonts w:ascii="Times New Roman" w:hAnsi="Times New Roman" w:eastAsia="楷体" w:cs="Times New Roman"/>
                <w:sz w:val="24"/>
                <w:lang w:eastAsia="zh-CN"/>
              </w:rPr>
            </w:pPr>
            <w:r>
              <w:rPr>
                <w:rFonts w:ascii="Times New Roman" w:hAnsi="Times New Roman" w:eastAsia="楷体" w:cs="Times New Roman"/>
                <w:sz w:val="24"/>
                <w:lang w:eastAsia="zh-CN"/>
              </w:rPr>
              <w:t>根据《机关、团体、企业、事业单位消防安全管理规定》《陕西省消防安全重点单位界定标准（试行）》，我单位属消防安全重点单位，特此申报。</w:t>
            </w:r>
          </w:p>
          <w:p w14:paraId="31A1D51C">
            <w:pPr>
              <w:widowControl w:val="0"/>
              <w:kinsoku/>
              <w:spacing w:line="320" w:lineRule="exact"/>
              <w:rPr>
                <w:rFonts w:ascii="Times New Roman" w:hAnsi="Times New Roman" w:eastAsia="楷体" w:cs="Times New Roman"/>
                <w:sz w:val="24"/>
                <w:lang w:eastAsia="zh-CN"/>
              </w:rPr>
            </w:pPr>
          </w:p>
          <w:p w14:paraId="287964C5">
            <w:pPr>
              <w:widowControl w:val="0"/>
              <w:kinsoku/>
              <w:spacing w:line="320" w:lineRule="exact"/>
              <w:ind w:firstLine="2160" w:firstLineChars="900"/>
              <w:rPr>
                <w:rFonts w:ascii="Times New Roman" w:hAnsi="Times New Roman" w:eastAsia="楷体" w:cs="Times New Roman"/>
                <w:sz w:val="24"/>
                <w:lang w:eastAsia="zh-CN"/>
              </w:rPr>
            </w:pPr>
          </w:p>
          <w:p w14:paraId="541BABFD">
            <w:pPr>
              <w:widowControl w:val="0"/>
              <w:kinsoku/>
              <w:spacing w:line="320" w:lineRule="exact"/>
              <w:ind w:firstLine="2160" w:firstLineChars="900"/>
              <w:rPr>
                <w:rFonts w:ascii="Times New Roman" w:hAnsi="Times New Roman" w:eastAsia="楷体" w:cs="Times New Roman"/>
                <w:sz w:val="24"/>
                <w:lang w:eastAsia="zh-CN"/>
              </w:rPr>
            </w:pPr>
            <w:r>
              <w:rPr>
                <w:rFonts w:ascii="Times New Roman" w:hAnsi="Times New Roman" w:eastAsia="楷体" w:cs="Times New Roman"/>
                <w:sz w:val="24"/>
                <w:lang w:eastAsia="zh-CN"/>
              </w:rPr>
              <w:t>消防安全责任人（签字）：</w:t>
            </w:r>
          </w:p>
          <w:p w14:paraId="44A1DB42">
            <w:pPr>
              <w:widowControl w:val="0"/>
              <w:kinsoku/>
              <w:rPr>
                <w:rFonts w:ascii="Times New Roman" w:hAnsi="Times New Roman" w:eastAsia="楷体" w:cs="Times New Roman"/>
                <w:sz w:val="24"/>
                <w:lang w:eastAsia="zh-CN"/>
              </w:rPr>
            </w:pPr>
            <w:r>
              <w:rPr>
                <w:rFonts w:ascii="Times New Roman" w:hAnsi="Times New Roman" w:eastAsia="楷体" w:cs="Times New Roman"/>
                <w:sz w:val="24"/>
                <w:lang w:eastAsia="zh-CN"/>
              </w:rPr>
              <w:t xml:space="preserve">                            单位（公章）：</w:t>
            </w:r>
          </w:p>
          <w:p w14:paraId="10653E5C">
            <w:pPr>
              <w:widowControl w:val="0"/>
              <w:kinsoku/>
              <w:spacing w:before="156" w:beforeLines="50" w:after="156" w:afterLines="50"/>
              <w:ind w:right="480"/>
              <w:jc w:val="center"/>
              <w:rPr>
                <w:rFonts w:ascii="Times New Roman" w:hAnsi="Times New Roman" w:eastAsia="楷体" w:cs="Times New Roman"/>
                <w:sz w:val="24"/>
                <w:lang w:eastAsia="zh-CN"/>
              </w:rPr>
            </w:pPr>
            <w:r>
              <w:rPr>
                <w:rFonts w:ascii="Times New Roman" w:hAnsi="Times New Roman" w:eastAsia="楷体" w:cs="Times New Roman"/>
                <w:sz w:val="24"/>
                <w:lang w:eastAsia="zh-CN"/>
              </w:rPr>
              <w:t xml:space="preserve">                 年    月    日</w:t>
            </w:r>
          </w:p>
        </w:tc>
      </w:tr>
      <w:tr w14:paraId="44489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2" w:hRule="atLeast"/>
          <w:jc w:val="center"/>
        </w:trPr>
        <w:tc>
          <w:tcPr>
            <w:tcW w:w="3043" w:type="dxa"/>
            <w:gridSpan w:val="3"/>
            <w:tcBorders>
              <w:left w:val="single" w:color="auto" w:sz="12" w:space="0"/>
            </w:tcBorders>
            <w:vAlign w:val="center"/>
          </w:tcPr>
          <w:p w14:paraId="40ED5513">
            <w:pPr>
              <w:widowControl w:val="0"/>
              <w:kinsoku/>
              <w:jc w:val="center"/>
              <w:rPr>
                <w:rFonts w:hint="eastAsia" w:ascii="黑体" w:hAnsi="黑体" w:eastAsia="黑体" w:cs="Times New Roman"/>
                <w:sz w:val="24"/>
                <w:lang w:eastAsia="zh-CN"/>
              </w:rPr>
            </w:pPr>
            <w:r>
              <w:rPr>
                <w:rFonts w:ascii="黑体" w:hAnsi="黑体" w:eastAsia="黑体" w:cs="Times New Roman"/>
                <w:sz w:val="24"/>
                <w:lang w:eastAsia="zh-CN"/>
              </w:rPr>
              <w:t>消防救援机构备案意见</w:t>
            </w:r>
          </w:p>
        </w:tc>
        <w:tc>
          <w:tcPr>
            <w:tcW w:w="7388" w:type="dxa"/>
            <w:gridSpan w:val="5"/>
            <w:tcBorders>
              <w:right w:val="single" w:color="auto" w:sz="12" w:space="0"/>
            </w:tcBorders>
          </w:tcPr>
          <w:p w14:paraId="604DBE1C">
            <w:pPr>
              <w:widowControl w:val="0"/>
              <w:kinsoku/>
              <w:spacing w:before="156" w:beforeLines="50" w:line="320" w:lineRule="exact"/>
              <w:ind w:firstLine="480" w:firstLineChars="200"/>
              <w:rPr>
                <w:rFonts w:ascii="Times New Roman" w:hAnsi="Times New Roman" w:eastAsia="楷体" w:cs="Times New Roman"/>
                <w:color w:val="FF0000"/>
                <w:sz w:val="24"/>
                <w:lang w:eastAsia="zh-CN"/>
              </w:rPr>
            </w:pPr>
            <w:r>
              <w:rPr>
                <w:rFonts w:ascii="Times New Roman" w:hAnsi="Times New Roman" w:eastAsia="楷体" w:cs="Times New Roman"/>
                <w:sz w:val="24"/>
                <w:lang w:eastAsia="zh-CN"/>
              </w:rPr>
              <w:t>该单位符合《陕西省消防安全重点单位界定标准（试行）》，同意备案。</w:t>
            </w:r>
          </w:p>
          <w:p w14:paraId="21831DB4">
            <w:pPr>
              <w:widowControl w:val="0"/>
              <w:kinsoku/>
              <w:spacing w:before="156" w:beforeLines="50" w:line="320" w:lineRule="exact"/>
              <w:ind w:firstLine="480" w:firstLineChars="200"/>
              <w:rPr>
                <w:rFonts w:ascii="Times New Roman" w:hAnsi="Times New Roman" w:eastAsia="楷体" w:cs="Times New Roman"/>
                <w:color w:val="FF0000"/>
                <w:sz w:val="24"/>
                <w:lang w:eastAsia="zh-CN"/>
              </w:rPr>
            </w:pPr>
          </w:p>
          <w:p w14:paraId="1C2F6F2D">
            <w:pPr>
              <w:widowControl w:val="0"/>
              <w:kinsoku/>
              <w:spacing w:line="320" w:lineRule="exact"/>
              <w:ind w:firstLine="3960" w:firstLineChars="1650"/>
              <w:rPr>
                <w:rFonts w:ascii="Times New Roman" w:hAnsi="Times New Roman" w:eastAsia="楷体" w:cs="Times New Roman"/>
                <w:sz w:val="24"/>
                <w:lang w:eastAsia="zh-CN"/>
              </w:rPr>
            </w:pPr>
            <w:r>
              <w:rPr>
                <w:rFonts w:ascii="Times New Roman" w:hAnsi="Times New Roman" w:eastAsia="楷体" w:cs="Times New Roman"/>
                <w:sz w:val="24"/>
                <w:lang w:eastAsia="zh-CN"/>
              </w:rPr>
              <w:t>（消防救援部门印章）</w:t>
            </w:r>
          </w:p>
          <w:p w14:paraId="4C7875B6">
            <w:pPr>
              <w:widowControl w:val="0"/>
              <w:kinsoku/>
              <w:spacing w:line="320" w:lineRule="exact"/>
              <w:ind w:firstLine="960" w:firstLineChars="400"/>
              <w:rPr>
                <w:rFonts w:ascii="Times New Roman" w:hAnsi="Times New Roman" w:eastAsia="楷体" w:cs="Times New Roman"/>
                <w:sz w:val="24"/>
                <w:lang w:eastAsia="zh-CN"/>
              </w:rPr>
            </w:pPr>
            <w:r>
              <w:rPr>
                <w:rFonts w:ascii="Times New Roman" w:hAnsi="Times New Roman" w:eastAsia="楷体" w:cs="Times New Roman"/>
                <w:sz w:val="24"/>
                <w:lang w:eastAsia="zh-CN"/>
              </w:rPr>
              <w:t xml:space="preserve">                            年    月    日</w:t>
            </w:r>
          </w:p>
        </w:tc>
      </w:tr>
    </w:tbl>
    <w:p w14:paraId="73C29812">
      <w:pPr>
        <w:widowControl w:val="0"/>
        <w:rPr>
          <w:rFonts w:ascii="Times New Roman" w:hAnsi="Times New Roman" w:cs="Times New Roman" w:eastAsiaTheme="minorEastAsia"/>
          <w:lang w:eastAsia="zh-CN"/>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84E"/>
    <w:rsid w:val="0002184E"/>
    <w:rsid w:val="00083C81"/>
    <w:rsid w:val="0019395F"/>
    <w:rsid w:val="00222524"/>
    <w:rsid w:val="00246F38"/>
    <w:rsid w:val="0042142E"/>
    <w:rsid w:val="00496890"/>
    <w:rsid w:val="006C636D"/>
    <w:rsid w:val="0070329B"/>
    <w:rsid w:val="00745DDB"/>
    <w:rsid w:val="00746019"/>
    <w:rsid w:val="00813504"/>
    <w:rsid w:val="00832578"/>
    <w:rsid w:val="00A907F8"/>
    <w:rsid w:val="00BA43A5"/>
    <w:rsid w:val="00C60743"/>
    <w:rsid w:val="00CF7C74"/>
    <w:rsid w:val="00D95B38"/>
    <w:rsid w:val="0611020B"/>
    <w:rsid w:val="1880496E"/>
    <w:rsid w:val="1DC97D28"/>
    <w:rsid w:val="207C542B"/>
    <w:rsid w:val="212212BA"/>
    <w:rsid w:val="27BD1CA7"/>
    <w:rsid w:val="319A50C2"/>
    <w:rsid w:val="34032591"/>
    <w:rsid w:val="39510397"/>
    <w:rsid w:val="5CBD3DF2"/>
    <w:rsid w:val="66D34CD0"/>
    <w:rsid w:val="68644630"/>
    <w:rsid w:val="72587E32"/>
    <w:rsid w:val="74723BA6"/>
    <w:rsid w:val="7B215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line="360" w:lineRule="auto"/>
      <w:ind w:right="600"/>
    </w:pPr>
    <w:rPr>
      <w:rFonts w:ascii="仿宋_GB2312" w:hAnsi="Courier New" w:eastAsia="仿宋_GB2312" w:cs="仿宋_GB2312"/>
    </w:rPr>
  </w:style>
  <w:style w:type="paragraph" w:styleId="3">
    <w:name w:val="footer"/>
    <w:basedOn w:val="1"/>
    <w:qFormat/>
    <w:uiPriority w:val="0"/>
    <w:pPr>
      <w:tabs>
        <w:tab w:val="center" w:pos="4153"/>
        <w:tab w:val="right" w:pos="8306"/>
      </w:tabs>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customStyle="1" w:styleId="7">
    <w:name w:val="Table Text"/>
    <w:basedOn w:val="1"/>
    <w:semiHidden/>
    <w:qFormat/>
    <w:uiPriority w:val="0"/>
    <w:rPr>
      <w:rFonts w:ascii="仿宋" w:hAnsi="仿宋" w:eastAsia="仿宋" w:cs="仿宋"/>
      <w:sz w:val="20"/>
      <w:szCs w:val="20"/>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1869337f-7d2c-4626-a903-587eab75db67</errorID>
      <errorWord>地</errorWord>
      <group>L1_Grammar</group>
      <groupName>语法问题</groupName>
      <ability>L2_Order</ability>
      <abilityName>语序不当</abilityName>
      <candidateList>
        <item>的</item>
      </candidateList>
      <explain>句子可能没有遵循时空、逻辑顺序，或者介词、关联词等位置不当。</explain>
      <paraID>1446BE36</paraID>
      <start>15</start>
      <end>16</end>
      <status>modified</status>
      <modifiedWord>的</modifiedWord>
      <trackRevisions>false</trackRevisions>
    </reviewItem>
    <reviewItem>
      <errorID>8bbfac93-5a06-4bf9-84d5-22f8883b3679</errorID>
      <errorWord>;</errorWord>
      <group>L1_Format</group>
      <groupName>格式问题</groupName>
      <ability>L2_HalfPunc</ability>
      <abilityName>全半角检查</abilityName>
      <candidateList>
        <item>；</item>
      </candidateList>
      <explain>文本全半角错误。</explain>
      <paraID>3CDAF4BE</paraID>
      <start>41</start>
      <end>42</end>
      <status>modified</status>
      <modifiedWord>；</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3acc5-810d-4884-8b8c-552e65bc71d8}">
  <ds:schemaRefs/>
</ds:datastoreItem>
</file>

<file path=customXml/itemProps2.xml><?xml version="1.0" encoding="utf-8"?>
<ds:datastoreItem xmlns:ds="http://schemas.openxmlformats.org/officeDocument/2006/customXml" ds:itemID="{DAF22BCF-DDB2-41F8-BF8D-8BC26CCCC1D3}">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1898</Words>
  <Characters>2026</Characters>
  <Lines>16</Lines>
  <Paragraphs>4</Paragraphs>
  <TotalTime>38</TotalTime>
  <ScaleCrop>false</ScaleCrop>
  <LinksUpToDate>false</LinksUpToDate>
  <CharactersWithSpaces>2120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2025-02-19T10:16:00Z</dcterms:created>
  <dc:creator>Administrator</dc:creator>
  <cp:lastModifiedBy>甜西瓜</cp:lastModifiedBy>
  <cp:lastPrinted>2025-02-19T10:14:00Z</cp:lastPrinted>
  <dcterms:modified xsi:type="dcterms:W3CDTF">2026-02-26T01:56:49Z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eyJoZGlkIjoiMmE4MDg3YWJmMThjNjUzYTdmNTBiNDIzYWUwNTEwYTciLCJ1c2VySWQiOiI3OTcyNTU2NDgifQ==</vt:lpwstr>
  </property>
  <property fmtid="{D5CDD505-2E9C-101B-9397-08002B2CF9AE}" pid="4" name="ICV">
    <vt:lpwstr>797C8733623A4C868F8A8E700EE7F06F_13</vt:lpwstr>
  </property>
</Properties>
</file>